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1" w:rsidRDefault="00100491">
      <w:pPr>
        <w:pStyle w:val="Standard"/>
      </w:pPr>
      <w:bookmarkStart w:id="0" w:name="_GoBack"/>
      <w:bookmarkEnd w:id="0"/>
    </w:p>
    <w:tbl>
      <w:tblPr>
        <w:tblW w:w="93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7261"/>
        <w:gridCol w:w="1301"/>
      </w:tblGrid>
      <w:tr w:rsidR="00100491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91" w:rsidRDefault="00100491">
            <w:pPr>
              <w:pStyle w:val="Standard"/>
              <w:rPr>
                <w:b/>
              </w:rPr>
            </w:pP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91" w:rsidRPr="00690E55" w:rsidRDefault="004D6682" w:rsidP="00690E55">
            <w:pPr>
              <w:jc w:val="center"/>
              <w:rPr>
                <w:b/>
              </w:rPr>
            </w:pPr>
            <w:r w:rsidRPr="00690E55">
              <w:rPr>
                <w:b/>
              </w:rPr>
              <w:t>Parametry graniczne dla analizatora biochemicznego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91" w:rsidRDefault="001004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100491" w:rsidRPr="006B73C3" w:rsidTr="005E2B09">
        <w:trPr>
          <w:trHeight w:val="127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976" w:rsidRDefault="005D7976" w:rsidP="005D7976">
            <w:r>
              <w:t>Analizator fabrycznie nowy – rok produkcji 2018, do oferty należy dołączyć wydany przez producenta certyfikat poświadczający datę produkcji i numer seryjny aparatu.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5E2B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Analizator automatyczny, wieloparametrowy z możliwością wykorzystania własnych aplikacji odczynnikowych – min. 5, pracujący w trybie „pacjent po pacjencie”.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5D7976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Całkowita wydajność analizatora nie mniejsza niż 340 oznaczeń fotometrycznych na godzinę i nie mniej niż 120 oznaczeń ISE na godzinę.</w:t>
            </w:r>
            <w:r w:rsidR="00100491" w:rsidRPr="006B7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5D7976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t>Analizator wyposażony w oddzielne igły – odczynnikową, próbkową i ISE.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Chłodzony przedział odczynnikowy na minimum 40 miejsc z możliwością pozostawienia odczynników na pokładzie analizatora.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 xml:space="preserve">Możliwość uzupełniania odczynników, kontroli, kalibratorów, próbek badanych i kuwet w trakcie pracy aparatu, bez konieczności zmiany trybu pracy na standby, stop.  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Minimum 50 pozycji na próbki badane z możliwością ciągłego dodawania próbek bez konieczności przerywania pracy aparatu.</w:t>
            </w:r>
          </w:p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Analizator pracujący z wodą destylowaną, bez stacji uzdatniania wody, zużywający nie więcej niż 2,5 litra wody na godzinę pracy aparatu.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Monitorowanie zużycia odczynników w czasie rzeczywistym, weryfikacja ilości testów na podstawie objętości odczynnika.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Automatyczna detekcja skrzepu w próbce badanej – jednoznaczny opis wskazujący na jego obecność.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Identyfikacja probówek za pomocą wbudowanego, wewnętrznego oraz zewnętrznego czytnika kodów kreskowych.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Możliwość wykonywania badań z probówek i kubeczków o różnej objętości materiału badanego.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5D7976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 xml:space="preserve">Możliwość oznaczenia podstawowych parametrów pediatrycznych (glukoza, bilirubina całkowita, CRP) z objętości mniejszej niż 100 ul surowicy. 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4D6682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Odczynniki płynne, nie wymagające rekonstytucji, dostarczone w firmowych opakowaniach z kodem kreskowym, który jest identyfikowany przez wbudowany czytnik kodów kreskowych.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 xml:space="preserve">Możliwość </w:t>
            </w:r>
            <w:r w:rsidR="0064568F">
              <w:t>sczytywania</w:t>
            </w:r>
            <w:r>
              <w:t xml:space="preserve"> wartości kalibratorów  i kontroli z pliku oraz kodu kreskowego zawartego w metryczce dla danej serii.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Odczynniki, kalibratory i kontrole pochodzące od tego samego producenta co producent aparatu (z wyjątkiem parametrów dodatkowych).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Możliwości analityczne – enzymy, substraty, białka specyficzne, ISE. Wykonywanie oznaczeń w surowicy, osoczu, moczu, płynie mózgowo-rdzeniowym.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Częstotliwość kalibracji modułu ISE – nie częściej niż raz w miesiącu.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5D7976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Niewymienne źródło światła lub jego nieodpłatna wymiana w trakcie trwania umowy.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Automatyczne wstępne rozcieńczanie próbek badanych oraz rozcieńczanie po przekroczeniu liniowości metody. Wykonywanie szeregu rozcieńczeń np. dla kalibratorów.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Kuwety reakcyjne jednorazowego użytku z automatycznym podawaniem i usuwaniem zużytych kuwet.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5D7976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 xml:space="preserve">Oprogramowanie i instrukcja obsługi analizatora w języku polskim. 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 xml:space="preserve">Program kontroli jakości umożliwiający graficzną i liczbową prezentację wyników kontroli jakości ( </w:t>
            </w:r>
            <w:r w:rsidR="006A2328">
              <w:t>karta Lev</w:t>
            </w:r>
            <w:r>
              <w:t>y-Jeni</w:t>
            </w:r>
            <w:r w:rsidR="006A2328">
              <w:t>n</w:t>
            </w:r>
            <w:r>
              <w:t>ngs</w:t>
            </w:r>
            <w:r w:rsidR="006A2328">
              <w:t>a</w:t>
            </w:r>
            <w:r>
              <w:t xml:space="preserve"> i reguły Westgarda).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5D7976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Dwukierunkowa transmisja danych z laboratoryjnym systemem informatycznym.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7976" w:rsidRDefault="005D7976" w:rsidP="005D7976">
            <w:r>
              <w:t>Możliwość tworzenia profili badań oraz wprowadzanie testów wyliczeniowych np. eGFR przy oznaczeniu kreatyniny.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5D7976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Termin ważności wszystkich dostarczonych odczynników, kalibratorów i kontroli nie krótszy niż 6 miesięcy.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976" w:rsidRDefault="005D7976" w:rsidP="005D7976">
            <w:r>
              <w:t>Analizator dostarczony z kompletnym wyposażeniem – UPS podtrzymujący pracę analizatora w przypadku awarii zasilania przez co najmniej 30 min., drukarka, komputer sterujący analizatorem z ekranem dotykowym.</w:t>
            </w:r>
          </w:p>
          <w:p w:rsidR="00690E55" w:rsidRDefault="00690E55" w:rsidP="00690E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E55" w:rsidRDefault="004D6682" w:rsidP="00690E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682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  <w:p w:rsidR="00690E55" w:rsidRDefault="00690E55" w:rsidP="00690E55">
            <w:pPr>
              <w:pStyle w:val="Standard"/>
            </w:pPr>
            <w:r w:rsidRPr="006B73C3">
              <w:rPr>
                <w:rFonts w:ascii="Arial" w:hAnsi="Arial" w:cs="Arial"/>
                <w:sz w:val="20"/>
                <w:szCs w:val="20"/>
              </w:rPr>
              <w:t xml:space="preserve"> Niespełnienie któregokolwiek z parametrów spowoduje odrzucenie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B73C3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t>erty</w:t>
            </w:r>
          </w:p>
          <w:p w:rsidR="004D6682" w:rsidRPr="004D6682" w:rsidRDefault="004D6682" w:rsidP="00690E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W przypadku analizatora stojącego na stole wykonawca dostarczy stół na którym zmieści się analizator, zbiorniki na wodę i ścieki oraz komputer z monitorem. Wykonawca dostarczy krzesło zapewniające ergonomiczną pracę przy stole z aparatem.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Okres dzierżawy i gwarancji przez 36 miesięcy (bezpłatne: dojazdy i usługa serwisowa, części zamienne i materiały zużywalne, naprawy i przeglądy techniczne, minimum 1 w roku).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Możliwość zgłaszania awarii przez 7 dni w tygodniu. Przystąpienie do naprawy w ciągu 24 godzin od zgłoszenia awarii, niezależnie od dnia tygodnia. W przypadku niesprawności analizatora powyżej 24 h Wykonawca pokryje koszty wykonania badań w innym Laboratorium położonym najbliżej miejsca Zamawiającego i w czasie nie dłuższym niż 72 h dostarczy analizator zastępczy o identycznych parametrach technicznych.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Instrukcja obsługi analizatora i metodyki dla wszystkich wymaganych parametrów w języku polskim, wydrukowane i dostarczone wraz z instalacją analizatora.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Wykonawca na własny koszt zapewni podłączenie analizatora do LIS KS – SOLAB firmy Kamsoft - Warmia. Wymagana dwustronna komunikac</w:t>
            </w:r>
            <w:r w:rsidR="006A2328">
              <w:t>ja między aparatem a systemem oraz przesyłanie i prowadzenie kontroli jakości do systemu.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 xml:space="preserve">Wykonawca dostarczy analizator w ciągu </w:t>
            </w:r>
            <w:r w:rsidR="006A2328">
              <w:t>21</w:t>
            </w:r>
            <w:r>
              <w:t xml:space="preserve"> dni od podpisania umowy i zapewni szkolenie (3 dni) dla personelu Laboratorium w zakresie obsługi aparatu i interpretacji wyników.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00491" w:rsidRPr="006B7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Wykonawca zapewni bezpłatny udział Laboratorium w międzynarodowej kontroli jakości firmy RANDOX (Biochemia 50 parametrów, Hemoglobina glikowana, Amoniak/etanol) przez okres trwania umowy.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00491" w:rsidRPr="006B7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Default="00A666DF" w:rsidP="00A666DF">
            <w:r>
              <w:t>Wykonawca zapewni niezależny materiał do kontroli wewnątrzlaboratoryjnej dla parametrów wymienionych w tabeli asortymentowej z wyłączeniem HbA1c i kwasów żółciowych. Materiał kontrolny na dwóch poziomach, dostarczany w jednej serii przez minimum 18 miesięcy. Obowiązuje przez okres trwania umowy.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00491" w:rsidRPr="006B7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A666DF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Wykonawca zapewni bezpłatny udział w zewnętrznej kontroli jakości firmy Standlab.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82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4D6682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66DF" w:rsidRPr="00F76246" w:rsidRDefault="00A666DF" w:rsidP="00A666DF">
            <w:r>
              <w:t>Wykonawca dostarczy Zamawiającemu nową wirówkę laboratoryjną o parametrach technicznych – prędkość max. 16000 RPM, wirnik horyzontalny, jednoczesne wirowanie min. 20 szt. probówek o poj. 5/7 ml, jednoczesnego wirowania min. 10 szt. probówek o poj. 10 ml, system umożliwiający szybką zmianę rotorów bez konieczności użycia narzędzi, pokrywki areozoloszczelne, możliwość zapisu min. 3 programów użytkownika, przyciski szybkiego wyboru dedykowane dla podstawowych programów, czytelny wyświetlacz cyfrowy z wskazaniem prędkości RPM i zegarem czasu pracy, funkcja łagodnego startu i zatrzymania wirnika, certyfikat CE, IVD.</w:t>
            </w:r>
            <w:r w:rsidR="00FC5FA3">
              <w:t xml:space="preserve"> W</w:t>
            </w:r>
            <w:r w:rsidR="00690E55">
              <w:t>y</w:t>
            </w:r>
            <w:r w:rsidR="00FC5FA3">
              <w:t>konawca zapewni stół pod wirówkę.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7FA" w:rsidRPr="006B73C3" w:rsidTr="005E2B09"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FA" w:rsidRDefault="00CC07FA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FA" w:rsidRDefault="00CC07FA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zapewni dostawę stołu roboczego do rozdziału materiału badanego ( długość 170 cm, szerokość  60 cm, wysokość 75 cm.)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FA" w:rsidRPr="006B73C3" w:rsidRDefault="00CC07FA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E55" w:rsidRDefault="00690E55">
      <w:pPr>
        <w:pStyle w:val="Standard"/>
      </w:pPr>
    </w:p>
    <w:sectPr w:rsidR="00690E55" w:rsidSect="001D5272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86" w:rsidRDefault="00AF0186">
      <w:r>
        <w:separator/>
      </w:r>
    </w:p>
  </w:endnote>
  <w:endnote w:type="continuationSeparator" w:id="0">
    <w:p w:rsidR="00AF0186" w:rsidRDefault="00AF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86" w:rsidRDefault="00AF0186">
      <w:r>
        <w:rPr>
          <w:color w:val="000000"/>
        </w:rPr>
        <w:separator/>
      </w:r>
    </w:p>
  </w:footnote>
  <w:footnote w:type="continuationSeparator" w:id="0">
    <w:p w:rsidR="00AF0186" w:rsidRDefault="00AF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91" w:rsidRPr="001C6E19" w:rsidRDefault="00100491" w:rsidP="001C6E1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C6E19">
      <w:rPr>
        <w:rFonts w:ascii="Times New Roman" w:hAnsi="Times New Roman" w:cs="Times New Roman"/>
        <w:sz w:val="24"/>
        <w:szCs w:val="24"/>
      </w:rPr>
      <w:t>Załącznik nr 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2D"/>
    <w:rsid w:val="00023D8B"/>
    <w:rsid w:val="00036AB5"/>
    <w:rsid w:val="0004682E"/>
    <w:rsid w:val="00070562"/>
    <w:rsid w:val="00080A2F"/>
    <w:rsid w:val="000A1113"/>
    <w:rsid w:val="000B0F26"/>
    <w:rsid w:val="000F40DD"/>
    <w:rsid w:val="00100491"/>
    <w:rsid w:val="001012CC"/>
    <w:rsid w:val="0019413A"/>
    <w:rsid w:val="001B45E9"/>
    <w:rsid w:val="001C6E19"/>
    <w:rsid w:val="001D5272"/>
    <w:rsid w:val="00236A61"/>
    <w:rsid w:val="002A0B5B"/>
    <w:rsid w:val="002F1DEF"/>
    <w:rsid w:val="00316866"/>
    <w:rsid w:val="003D65A5"/>
    <w:rsid w:val="004225E4"/>
    <w:rsid w:val="0045380E"/>
    <w:rsid w:val="00460C90"/>
    <w:rsid w:val="00494DB6"/>
    <w:rsid w:val="004A1695"/>
    <w:rsid w:val="004D2AE0"/>
    <w:rsid w:val="004D6682"/>
    <w:rsid w:val="004E2F58"/>
    <w:rsid w:val="005117AA"/>
    <w:rsid w:val="005A2E3D"/>
    <w:rsid w:val="005D7976"/>
    <w:rsid w:val="005E2B09"/>
    <w:rsid w:val="0064568F"/>
    <w:rsid w:val="00690E55"/>
    <w:rsid w:val="006A2328"/>
    <w:rsid w:val="006B73C3"/>
    <w:rsid w:val="007319C1"/>
    <w:rsid w:val="00742210"/>
    <w:rsid w:val="008471D6"/>
    <w:rsid w:val="0088362F"/>
    <w:rsid w:val="008D1A32"/>
    <w:rsid w:val="00910A77"/>
    <w:rsid w:val="00942CDB"/>
    <w:rsid w:val="00A666DF"/>
    <w:rsid w:val="00AC6324"/>
    <w:rsid w:val="00AF0186"/>
    <w:rsid w:val="00B155EF"/>
    <w:rsid w:val="00B4635D"/>
    <w:rsid w:val="00BC28DC"/>
    <w:rsid w:val="00C0375A"/>
    <w:rsid w:val="00CA5607"/>
    <w:rsid w:val="00CC07FA"/>
    <w:rsid w:val="00CD45F8"/>
    <w:rsid w:val="00D03A40"/>
    <w:rsid w:val="00D65C2D"/>
    <w:rsid w:val="00D70397"/>
    <w:rsid w:val="00E13461"/>
    <w:rsid w:val="00E33135"/>
    <w:rsid w:val="00E967F5"/>
    <w:rsid w:val="00FC5FA3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7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D527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link w:val="NagwekZnak"/>
    <w:uiPriority w:val="99"/>
    <w:rsid w:val="001D527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C6324"/>
    <w:rPr>
      <w:rFonts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D5272"/>
    <w:pPr>
      <w:spacing w:after="120"/>
    </w:pPr>
  </w:style>
  <w:style w:type="paragraph" w:styleId="Lista">
    <w:name w:val="List"/>
    <w:basedOn w:val="Textbody"/>
    <w:uiPriority w:val="99"/>
    <w:rsid w:val="001D5272"/>
  </w:style>
  <w:style w:type="paragraph" w:styleId="Legenda">
    <w:name w:val="caption"/>
    <w:basedOn w:val="Standard"/>
    <w:uiPriority w:val="99"/>
    <w:qFormat/>
    <w:rsid w:val="001D52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D5272"/>
    <w:pPr>
      <w:suppressLineNumbers/>
    </w:pPr>
  </w:style>
  <w:style w:type="paragraph" w:customStyle="1" w:styleId="Default">
    <w:name w:val="Default"/>
    <w:uiPriority w:val="99"/>
    <w:rsid w:val="001D5272"/>
    <w:pPr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D5272"/>
    <w:pPr>
      <w:suppressLineNumbers/>
    </w:pPr>
  </w:style>
  <w:style w:type="paragraph" w:styleId="Stopka">
    <w:name w:val="footer"/>
    <w:basedOn w:val="Normalny"/>
    <w:link w:val="StopkaZnak"/>
    <w:uiPriority w:val="99"/>
    <w:rsid w:val="001C6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C6324"/>
    <w:rPr>
      <w:rFonts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AC3E-8D8E-43A4-ABB5-2ED0801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Sarnecka</dc:creator>
  <cp:lastModifiedBy>bkostrzewa</cp:lastModifiedBy>
  <cp:revision>10</cp:revision>
  <cp:lastPrinted>2014-01-07T19:21:00Z</cp:lastPrinted>
  <dcterms:created xsi:type="dcterms:W3CDTF">2018-03-30T09:47:00Z</dcterms:created>
  <dcterms:modified xsi:type="dcterms:W3CDTF">2018-04-03T09:32:00Z</dcterms:modified>
</cp:coreProperties>
</file>