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6"/>
        <w:gridCol w:w="6247"/>
        <w:gridCol w:w="1097"/>
        <w:gridCol w:w="952"/>
      </w:tblGrid>
      <w:tr w:rsidR="000534B7" w:rsidRPr="0079550C" w:rsidTr="005E5170">
        <w:trPr>
          <w:trHeight w:val="29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50C" w:rsidRDefault="0079550C" w:rsidP="0079550C">
            <w:pPr>
              <w:shd w:val="clear" w:color="auto" w:fill="FFFFFF"/>
              <w:spacing w:before="475"/>
              <w:jc w:val="right"/>
            </w:pPr>
            <w:r>
              <w:rPr>
                <w:b/>
                <w:bCs/>
                <w:color w:val="000000"/>
                <w:spacing w:val="-2"/>
                <w:szCs w:val="24"/>
              </w:rPr>
              <w:t>Załącznik Nr 2.1</w:t>
            </w:r>
          </w:p>
          <w:p w:rsidR="0079550C" w:rsidRDefault="0079550C" w:rsidP="0079550C">
            <w:pPr>
              <w:shd w:val="clear" w:color="auto" w:fill="FFFFFF"/>
              <w:spacing w:before="595"/>
              <w:ind w:left="1978"/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ARKUSZ ASORTYMENTOWO-CENOWY</w:t>
            </w:r>
          </w:p>
          <w:p w:rsidR="0079550C" w:rsidRDefault="0079550C" w:rsidP="0079550C">
            <w:pPr>
              <w:shd w:val="clear" w:color="auto" w:fill="FFFFFF"/>
              <w:spacing w:before="259" w:line="278" w:lineRule="exact"/>
              <w:ind w:left="115" w:right="4858"/>
            </w:pPr>
            <w:r>
              <w:rPr>
                <w:color w:val="000000"/>
                <w:spacing w:val="-1"/>
                <w:szCs w:val="24"/>
                <w:u w:val="single"/>
              </w:rPr>
              <w:t>Przedmiot zamówienia</w:t>
            </w:r>
            <w:r>
              <w:rPr>
                <w:color w:val="000000"/>
                <w:spacing w:val="-1"/>
                <w:szCs w:val="24"/>
              </w:rPr>
              <w:t>:  Kardiomonitor</w:t>
            </w:r>
          </w:p>
          <w:p w:rsidR="0079550C" w:rsidRDefault="0079550C" w:rsidP="0079550C">
            <w:pPr>
              <w:spacing w:after="552" w:line="1" w:lineRule="exact"/>
              <w:rPr>
                <w:sz w:val="2"/>
                <w:szCs w:val="2"/>
              </w:rPr>
            </w:pPr>
          </w:p>
          <w:tbl>
            <w:tblPr>
              <w:tblW w:w="10042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475"/>
              <w:gridCol w:w="2213"/>
              <w:gridCol w:w="1493"/>
              <w:gridCol w:w="725"/>
              <w:gridCol w:w="1291"/>
              <w:gridCol w:w="1392"/>
              <w:gridCol w:w="677"/>
              <w:gridCol w:w="816"/>
              <w:gridCol w:w="960"/>
            </w:tblGrid>
            <w:tr w:rsidR="0079550C" w:rsidRPr="0079550C" w:rsidTr="00DE5BCA">
              <w:trPr>
                <w:trHeight w:hRule="exact" w:val="701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Pr="0079550C" w:rsidRDefault="0079550C" w:rsidP="008A32EE">
                  <w:pPr>
                    <w:shd w:val="clear" w:color="auto" w:fill="FFFFFF"/>
                    <w:jc w:val="center"/>
                  </w:pPr>
                  <w:r w:rsidRPr="0079550C">
                    <w:rPr>
                      <w:color w:val="000000"/>
                      <w:sz w:val="22"/>
                    </w:rPr>
                    <w:t>Lp.</w:t>
                  </w:r>
                </w:p>
              </w:tc>
              <w:tc>
                <w:tcPr>
                  <w:tcW w:w="2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Pr="0079550C" w:rsidRDefault="0079550C" w:rsidP="008A32EE">
                  <w:pPr>
                    <w:shd w:val="clear" w:color="auto" w:fill="FFFFFF"/>
                    <w:jc w:val="center"/>
                  </w:pPr>
                  <w:r w:rsidRPr="0079550C">
                    <w:rPr>
                      <w:color w:val="000000"/>
                      <w:spacing w:val="-2"/>
                      <w:sz w:val="22"/>
                    </w:rPr>
                    <w:t>Przedmiot zamówienia</w:t>
                  </w:r>
                </w:p>
              </w:tc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Pr="0079550C" w:rsidRDefault="0079550C" w:rsidP="0079550C">
                  <w:pPr>
                    <w:shd w:val="clear" w:color="auto" w:fill="FFFFFF"/>
                    <w:spacing w:line="230" w:lineRule="exact"/>
                    <w:ind w:left="221" w:right="216"/>
                  </w:pPr>
                  <w:r w:rsidRPr="0079550C">
                    <w:rPr>
                      <w:color w:val="000000"/>
                      <w:sz w:val="22"/>
                    </w:rPr>
                    <w:t>Nazwa handlowa producent</w:t>
                  </w: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Pr="0079550C" w:rsidRDefault="0079550C" w:rsidP="008A32EE">
                  <w:pPr>
                    <w:shd w:val="clear" w:color="auto" w:fill="FFFFFF"/>
                    <w:jc w:val="center"/>
                  </w:pPr>
                  <w:r w:rsidRPr="0079550C">
                    <w:rPr>
                      <w:color w:val="000000"/>
                      <w:sz w:val="22"/>
                    </w:rPr>
                    <w:t>Ilość</w:t>
                  </w: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Pr="0079550C" w:rsidRDefault="0079550C" w:rsidP="008A32EE">
                  <w:pPr>
                    <w:shd w:val="clear" w:color="auto" w:fill="FFFFFF"/>
                    <w:spacing w:line="235" w:lineRule="exact"/>
                    <w:ind w:left="149" w:right="154"/>
                  </w:pPr>
                  <w:r w:rsidRPr="0079550C">
                    <w:rPr>
                      <w:color w:val="000000"/>
                      <w:sz w:val="22"/>
                    </w:rPr>
                    <w:t>Rok produkcji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Pr="0079550C" w:rsidRDefault="0079550C" w:rsidP="008A32EE">
                  <w:pPr>
                    <w:shd w:val="clear" w:color="auto" w:fill="FFFFFF"/>
                    <w:jc w:val="center"/>
                  </w:pPr>
                  <w:r w:rsidRPr="0079550C">
                    <w:rPr>
                      <w:color w:val="000000"/>
                      <w:spacing w:val="-2"/>
                      <w:sz w:val="22"/>
                    </w:rPr>
                    <w:t>Wartość netto</w:t>
                  </w:r>
                </w:p>
              </w:tc>
              <w:tc>
                <w:tcPr>
                  <w:tcW w:w="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Pr="0079550C" w:rsidRDefault="0079550C" w:rsidP="0079550C">
                  <w:pPr>
                    <w:shd w:val="clear" w:color="auto" w:fill="FFFFFF"/>
                    <w:spacing w:line="235" w:lineRule="exact"/>
                    <w:ind w:left="29" w:right="34"/>
                  </w:pPr>
                  <w:r w:rsidRPr="0079550C">
                    <w:rPr>
                      <w:color w:val="000000"/>
                      <w:sz w:val="22"/>
                    </w:rPr>
                    <w:t>VAT %</w:t>
                  </w: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9550C" w:rsidRDefault="0079550C" w:rsidP="0079550C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 w:rsidRPr="0079550C">
                    <w:rPr>
                      <w:color w:val="000000"/>
                      <w:spacing w:val="-2"/>
                      <w:sz w:val="22"/>
                    </w:rPr>
                    <w:t>Wartość</w:t>
                  </w:r>
                </w:p>
                <w:p w:rsidR="0079550C" w:rsidRPr="0079550C" w:rsidRDefault="0079550C" w:rsidP="0079550C">
                  <w:pPr>
                    <w:shd w:val="clear" w:color="auto" w:fill="FFFFFF"/>
                  </w:pPr>
                  <w:r w:rsidRPr="0079550C">
                    <w:rPr>
                      <w:color w:val="000000"/>
                      <w:spacing w:val="-2"/>
                      <w:sz w:val="22"/>
                    </w:rPr>
                    <w:t xml:space="preserve"> brutto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>
                  <w:pPr>
                    <w:spacing w:after="200" w:line="276" w:lineRule="auto"/>
                  </w:pPr>
                </w:p>
                <w:p w:rsidR="0079550C" w:rsidRPr="0079550C" w:rsidRDefault="0079550C" w:rsidP="0079550C">
                  <w:pPr>
                    <w:shd w:val="clear" w:color="auto" w:fill="FFFFFF"/>
                  </w:pPr>
                </w:p>
              </w:tc>
            </w:tr>
            <w:tr w:rsidR="0079550C" w:rsidTr="00DE5BCA">
              <w:trPr>
                <w:trHeight w:hRule="exact" w:val="566"/>
              </w:trPr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22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  <w:spacing w:line="274" w:lineRule="exact"/>
                    <w:ind w:right="826"/>
                  </w:pPr>
                </w:p>
              </w:tc>
              <w:tc>
                <w:tcPr>
                  <w:tcW w:w="14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7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12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</w:tr>
            <w:tr w:rsidR="0079550C" w:rsidTr="00DE5BCA">
              <w:trPr>
                <w:trHeight w:hRule="exact" w:val="566"/>
              </w:trPr>
              <w:tc>
                <w:tcPr>
                  <w:tcW w:w="619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  <w:r>
                    <w:rPr>
                      <w:color w:val="000000"/>
                      <w:szCs w:val="24"/>
                    </w:rPr>
                    <w:t>RAZEM</w:t>
                  </w:r>
                </w:p>
              </w:tc>
              <w:tc>
                <w:tcPr>
                  <w:tcW w:w="13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550C" w:rsidRDefault="0079550C" w:rsidP="008A32EE">
                  <w:pPr>
                    <w:shd w:val="clear" w:color="auto" w:fill="FFFFFF"/>
                  </w:pPr>
                </w:p>
              </w:tc>
            </w:tr>
          </w:tbl>
          <w:p w:rsidR="0079550C" w:rsidRDefault="0079550C" w:rsidP="0079550C">
            <w:pPr>
              <w:spacing w:after="552" w:line="1" w:lineRule="exact"/>
              <w:rPr>
                <w:sz w:val="2"/>
                <w:szCs w:val="2"/>
              </w:rPr>
            </w:pPr>
          </w:p>
          <w:p w:rsidR="0079550C" w:rsidRPr="0079550C" w:rsidRDefault="0079550C" w:rsidP="006335BD">
            <w:pPr>
              <w:rPr>
                <w:rFonts w:ascii="Tahoma" w:hAnsi="Tahoma" w:cs="Tahoma"/>
                <w:sz w:val="20"/>
              </w:rPr>
            </w:pPr>
          </w:p>
        </w:tc>
      </w:tr>
      <w:tr w:rsidR="000534B7" w:rsidRPr="0079550C" w:rsidTr="005E5170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B7" w:rsidRPr="0079550C" w:rsidRDefault="000534B7" w:rsidP="006335BD">
            <w:pPr>
              <w:rPr>
                <w:rFonts w:ascii="Tahoma" w:hAnsi="Tahoma" w:cs="Tahoma"/>
                <w:sz w:val="20"/>
              </w:rPr>
            </w:pPr>
          </w:p>
        </w:tc>
      </w:tr>
      <w:tr w:rsidR="000534B7" w:rsidRPr="0079550C" w:rsidTr="005E5170">
        <w:trPr>
          <w:trHeight w:val="26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B7" w:rsidRPr="0079550C" w:rsidRDefault="000534B7" w:rsidP="006335BD">
            <w:pPr>
              <w:rPr>
                <w:rFonts w:ascii="Tahoma" w:hAnsi="Tahoma" w:cs="Tahoma"/>
                <w:sz w:val="20"/>
              </w:rPr>
            </w:pPr>
          </w:p>
        </w:tc>
      </w:tr>
      <w:tr w:rsidR="000534B7" w:rsidRPr="0079550C" w:rsidTr="005E5170">
        <w:trPr>
          <w:trHeight w:val="26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4B7" w:rsidRPr="0079550C" w:rsidRDefault="000534B7" w:rsidP="006335BD">
            <w:pPr>
              <w:rPr>
                <w:rFonts w:ascii="Tahoma" w:hAnsi="Tahoma" w:cs="Tahoma"/>
                <w:sz w:val="20"/>
              </w:rPr>
            </w:pPr>
          </w:p>
        </w:tc>
      </w:tr>
      <w:tr w:rsidR="0079550C" w:rsidRPr="0079550C" w:rsidTr="005E5170">
        <w:trPr>
          <w:trHeight w:val="41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50C" w:rsidRPr="0079550C" w:rsidRDefault="0079550C" w:rsidP="0079550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b/>
                <w:bCs/>
                <w:color w:val="000000"/>
                <w:spacing w:val="-2"/>
                <w:szCs w:val="24"/>
              </w:rPr>
              <w:t>Parametry graniczne (wymagane)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79550C" w:rsidRDefault="0079550C" w:rsidP="0079550C">
            <w:pPr>
              <w:shd w:val="clear" w:color="auto" w:fill="FFFFFF"/>
              <w:spacing w:line="278" w:lineRule="exact"/>
              <w:jc w:val="center"/>
            </w:pPr>
            <w:r w:rsidRPr="0079550C">
              <w:rPr>
                <w:b/>
                <w:bCs/>
                <w:color w:val="000000"/>
                <w:spacing w:val="-2"/>
                <w:sz w:val="16"/>
                <w:szCs w:val="24"/>
              </w:rPr>
              <w:t xml:space="preserve">Potwierdzenie </w:t>
            </w:r>
            <w:r w:rsidRPr="0079550C">
              <w:rPr>
                <w:b/>
                <w:bCs/>
                <w:color w:val="000000"/>
                <w:sz w:val="16"/>
                <w:szCs w:val="24"/>
              </w:rPr>
              <w:t>spełnienia</w:t>
            </w:r>
            <w:r>
              <w:rPr>
                <w:b/>
                <w:bCs/>
                <w:color w:val="000000"/>
                <w:spacing w:val="-2"/>
                <w:szCs w:val="24"/>
              </w:rPr>
              <w:t xml:space="preserve"> </w:t>
            </w:r>
            <w:r w:rsidRPr="0079550C">
              <w:rPr>
                <w:b/>
                <w:bCs/>
                <w:color w:val="000000"/>
                <w:spacing w:val="-2"/>
                <w:sz w:val="18"/>
                <w:szCs w:val="24"/>
              </w:rPr>
              <w:t>TAK / NIE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550C" w:rsidRPr="005E5170" w:rsidRDefault="0079550C" w:rsidP="0079550C">
            <w:pPr>
              <w:jc w:val="center"/>
              <w:rPr>
                <w:rFonts w:ascii="Tahoma" w:hAnsi="Tahoma" w:cs="Tahoma"/>
                <w:sz w:val="20"/>
              </w:rPr>
            </w:pPr>
            <w:r w:rsidRPr="005E5170">
              <w:rPr>
                <w:bCs/>
                <w:color w:val="000000"/>
                <w:spacing w:val="-2"/>
                <w:sz w:val="18"/>
                <w:szCs w:val="24"/>
              </w:rPr>
              <w:t xml:space="preserve">Opis oferowanego </w:t>
            </w:r>
            <w:r w:rsidRPr="005E5170">
              <w:rPr>
                <w:bCs/>
                <w:color w:val="000000"/>
                <w:sz w:val="18"/>
                <w:szCs w:val="24"/>
              </w:rPr>
              <w:t>parametru</w:t>
            </w:r>
            <w:r w:rsidRPr="005E5170">
              <w:rPr>
                <w:rFonts w:ascii="Tahoma" w:hAnsi="Tahoma" w:cs="Tahoma"/>
                <w:sz w:val="14"/>
              </w:rPr>
              <w:t xml:space="preserve"> </w:t>
            </w:r>
          </w:p>
        </w:tc>
      </w:tr>
      <w:tr w:rsidR="0079550C" w:rsidRPr="0079550C" w:rsidTr="005E5170">
        <w:trPr>
          <w:trHeight w:val="54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Monitor przeznaczony dla wszystkich grup wiekowych – noworodków, dzieci i dorosłych. </w:t>
            </w:r>
          </w:p>
        </w:tc>
        <w:tc>
          <w:tcPr>
            <w:tcW w:w="0" w:type="auto"/>
            <w:shd w:val="clear" w:color="auto" w:fill="auto"/>
            <w:hideMark/>
          </w:tcPr>
          <w:p w:rsidR="0079550C" w:rsidRDefault="0079550C" w:rsidP="008A32EE">
            <w:pPr>
              <w:shd w:val="clear" w:color="auto" w:fill="FFFFFF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521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Ekran TFT LCD o przekątnej min. 10,4’, rozdzielczość 800x600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dpi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, zintegrowany w jednej obudowie z jednostką centralną. Zawiera uchwyt do transportu wraz z możliwością zawieszenia na poręczy łóżka. Waga do 4,5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kg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521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Obsługa za pomocą pokrętła oraz przycisków funkcyjnych. Menu w języku polskim. Ekran dotykowy.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495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5C0C5D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Wyświetlanie</w:t>
            </w:r>
            <w:r w:rsidRPr="0079550C">
              <w:rPr>
                <w:rFonts w:ascii="Tahoma" w:hAnsi="Tahoma" w:cs="Tahoma"/>
                <w:sz w:val="20"/>
              </w:rPr>
              <w:t xml:space="preserve"> – co najmniej 8 przebiegów z możliwością edycji kolorów oraz kolejności ich wyświetlania. Możliwość dezaktywacji wybranych parametrów. Dostępne tryby pracy min.: tryb dużych znaków, 7-ekg, trendy dynamiczne, tryb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oxyCRG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, tryb podglądu danych z innych łóżek (dla monitorów w tej samej sieci bez użycia centrali monitorującej), tryb nocny.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780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Bezpieczeństwo</w:t>
            </w:r>
            <w:r w:rsidRPr="0079550C">
              <w:rPr>
                <w:rFonts w:ascii="Tahoma" w:hAnsi="Tahoma" w:cs="Tahoma"/>
                <w:sz w:val="20"/>
              </w:rPr>
              <w:t xml:space="preserve"> – urządzenie przeznaczone do pracy ciągłej, min. IPX1. Temperatura pracy min. 5-40°C. Urządzenie spełnia min. następujące normy: IEC 60601-1-2:2004, IEC 61000-3-3.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290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1B3DB1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Pamięć trendów tabelarycznych oraz graficznych dla wszystkich mierzonych parametrów min. 10 dni. Pamięć min. 2 godziny krzywej EKG w czasie rzeczywistym oraz min. 200 zdarzeń arytmii.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00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AF60E9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Monitor wyposażony w inteligentną funkcję ograniczającą pobór energii (tryb stand-by) z automatycznym wyłączeniem monitora przy braku monitoringu pacjenta przez określony czas.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56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947736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Alarmy</w:t>
            </w:r>
            <w:r w:rsidRPr="0079550C">
              <w:rPr>
                <w:rFonts w:ascii="Tahoma" w:hAnsi="Tahoma" w:cs="Tahoma"/>
                <w:sz w:val="20"/>
              </w:rPr>
              <w:t xml:space="preserve"> - co najmniej 3 stopniowy system alarmów - alarmy dźwiękowe i wizualne wszystkich monitorowanych parametrów z możliwością wyciszenia i zmian granic alarmowych dla każdego parametru, dostępne w jednym wspólnym menu. Min. 7 poziomów głośności z zabezpieczeniem ograniczającym wyciszenie alarmów do zera. Pamięć min. 200 zdarzeń alarmowych.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AE1431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Zasilanie</w:t>
            </w:r>
            <w:r w:rsidRPr="0079550C">
              <w:rPr>
                <w:rFonts w:ascii="Tahoma" w:hAnsi="Tahoma" w:cs="Tahoma"/>
                <w:sz w:val="20"/>
              </w:rPr>
              <w:t xml:space="preserve"> - sieciowe 100-240V 50Hz z mechanicznym zabezpieczeniem przed przypadkowym wyciągnięciem kabla zasilającego. Własne zasilanie akumulatorowe – czas pracy do 2,5 godzin (monitorowanie EKG, oddechu, SpO2 i pomiar NIBP co 15 minut). Akumulator bez efektu pamięci:  litowo-jonowy o pojemności min. 4600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mAh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. Akumulator wymienialny bez użycia narzędzi. Alarm stanu rozładowania akumulatora.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Proste aktualizacje oprogramowania poprzez gniazdo USB. Możliwość przenoszenia danych pacjentów zapisanych na USB celem ich odczytu na innym kardiomonitorze.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Oprogramowanie do obliczania dawek leków, obliczenia hemodynamiczne, obliczenia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utlenowania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 oraz obliczenia wentylacyjne.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Łączność</w:t>
            </w:r>
            <w:r w:rsidRPr="0079550C">
              <w:rPr>
                <w:rFonts w:ascii="Tahoma" w:hAnsi="Tahoma" w:cs="Tahoma"/>
                <w:sz w:val="20"/>
              </w:rPr>
              <w:t xml:space="preserve"> - wbudowane wyjście LAN (RJ-45), wyjście VGA, min. 1xUSB, gniazdo przywołania pielęgniarki, gniazdo synchronizacji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syg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. EKG.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F5015C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>Możliwość pracy w systemie centralnego monitoringu (komunikacja LAN) z możliwością wysyłania danych w standardzie HL7.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FA799A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EKG.</w:t>
            </w:r>
            <w:r w:rsidRPr="0079550C">
              <w:rPr>
                <w:rFonts w:ascii="Tahoma" w:hAnsi="Tahoma" w:cs="Tahoma"/>
                <w:sz w:val="20"/>
              </w:rPr>
              <w:t xml:space="preserve"> Monitorowanie EKG 3-5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odpr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. wraz z wykrywaniem arytmii. Klasyfikacja min. 12 rodzajów zaburzeń rytmu. </w:t>
            </w:r>
          </w:p>
          <w:p w:rsidR="0079550C" w:rsidRPr="0079550C" w:rsidRDefault="0079550C" w:rsidP="00FA799A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Prezentacja wartości HR, ST oraz PVC.  Pomiar odcinka ST w zakresie min. od -2,5 do +2,5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mV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 z min. 7 odprowadzeń jednocześnie. Pomiar HR w zakresie min. 15-350 /min. Wykrywanie impulsów stymulatora serca z możliwością wyboru kanału do detekcji oraz graficznym zaznaczeniem na krzywej EKG.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FA799A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FA799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b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>Możliwość jednoczesnej prezentacji min. 3 kanałów EKG oraz innych krzywych (bez używania trybu 7 EKG bądź 12 EKG).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Możliwość własnego ustawiania pozycji pomiaru P-R oraz położenia punktu J.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E207B0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>Możliwość analizy zmian czynności serca z dowolnie wybranego przedziału czasowego. Prezentacja wyników w postaci cyfrowej oraz w postaci trendów graficznych.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 xml:space="preserve">RESPIRCJA. </w:t>
            </w:r>
            <w:r w:rsidRPr="0079550C">
              <w:rPr>
                <w:rFonts w:ascii="Tahoma" w:hAnsi="Tahoma" w:cs="Tahoma"/>
                <w:sz w:val="20"/>
              </w:rPr>
              <w:t xml:space="preserve">Pomiar impedancyjny częstości oddechu w zakresie min. 0-120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odd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>./min. Alarm bezdechu regulowany w zakresie min. 10-60 sekund. Możliwość wyboru odprowadzenia użytego do pomiaru oddechu.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SPO2.</w:t>
            </w:r>
            <w:r w:rsidRPr="0079550C">
              <w:rPr>
                <w:rFonts w:ascii="Tahoma" w:hAnsi="Tahoma" w:cs="Tahoma"/>
                <w:sz w:val="20"/>
              </w:rPr>
              <w:t xml:space="preserve"> Wyświetlane wartości cyfrowej saturacji i tętna, krzywej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pletyzmograficznej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>. Zmiana tonu odczytu pulsu z SPO2 wraz ze spadkiem/wzrostem wartości SPO2.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224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Pomiar tętna w zakresie min. 30-240./min. Pomiar w technologii redukującej artefakty ruchowe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Nellcor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, Massimo bądź FAST. Wyświetlanie wskaźnika perfuzji bądź funkcja opóźnienia alarmu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SatSeconds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5C0C5D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Możliwość stosowania czujników Massimo, </w:t>
            </w:r>
            <w:proofErr w:type="spellStart"/>
            <w:r w:rsidRPr="0079550C">
              <w:rPr>
                <w:rFonts w:ascii="Tahoma" w:hAnsi="Tahoma" w:cs="Tahoma"/>
                <w:sz w:val="20"/>
              </w:rPr>
              <w:t>Nellcor</w:t>
            </w:r>
            <w:proofErr w:type="spellEnd"/>
            <w:r w:rsidRPr="0079550C">
              <w:rPr>
                <w:rFonts w:ascii="Tahoma" w:hAnsi="Tahoma" w:cs="Tahoma"/>
                <w:sz w:val="20"/>
              </w:rPr>
              <w:t xml:space="preserve"> bądź FAST z pomocą opcjonalnego dedykowanego kabla łączącego.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272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 xml:space="preserve">NIBP. </w:t>
            </w:r>
            <w:r w:rsidRPr="0079550C">
              <w:rPr>
                <w:rFonts w:ascii="Tahoma" w:hAnsi="Tahoma" w:cs="Tahoma"/>
                <w:sz w:val="20"/>
              </w:rPr>
              <w:t xml:space="preserve">Oscylometryczna metoda pomiaru. Tryb ręczny, automatyczny min. 1-480 minut oraz tryb ciągły. Ochrona przed zbyt wysokim ciśnieniem w mankiecie. Zakres ciśnienia skurczowego min. 30-240 mmHg, zakres ciśnienia rozkurczowego min. 10-220 mmHg. </w:t>
            </w:r>
          </w:p>
          <w:p w:rsidR="0079550C" w:rsidRPr="0079550C" w:rsidRDefault="0079550C" w:rsidP="00F5015C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Pamięć min. 1500 wyników pomiarowych NIBP.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272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Monitorowanie dynamicznego ciśnienia krwi z prezentacją wyników w postaci słupkowej oraz cyfrowej.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5E5170">
        <w:trPr>
          <w:trHeight w:val="272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 xml:space="preserve">TEMPERATURA. </w:t>
            </w:r>
            <w:r w:rsidRPr="0079550C">
              <w:rPr>
                <w:rFonts w:ascii="Tahoma" w:hAnsi="Tahoma" w:cs="Tahoma"/>
                <w:sz w:val="20"/>
              </w:rPr>
              <w:t xml:space="preserve">Pomiar z dwóch kanałów z prezentacją różnicy temperatur. Zakres pomiaru 0-50°C.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864F93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DE6081">
        <w:trPr>
          <w:trHeight w:val="474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C87F99">
            <w:pPr>
              <w:rPr>
                <w:rFonts w:ascii="Tahoma" w:hAnsi="Tahoma" w:cs="Tahoma"/>
                <w:b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3-kanałowa drukarka termiczna.</w:t>
            </w:r>
          </w:p>
          <w:p w:rsidR="0079550C" w:rsidRPr="0079550C" w:rsidRDefault="0079550C" w:rsidP="00C87F99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Tryby wydruku: rejestracja w czasie rzeczywistym, drukowanie wyzwalane alarmem oraz drukowanie w ustawionym czasie. Szerokość papieru min. 50mm. Min. 3 prędkości wydruku. </w:t>
            </w:r>
            <w:r w:rsidRPr="0079550C">
              <w:rPr>
                <w:rFonts w:ascii="Tahoma" w:hAnsi="Tahoma" w:cs="Tahoma"/>
                <w:i/>
                <w:sz w:val="20"/>
              </w:rPr>
              <w:t>W komplecie 4 rolki papieru termicznego.</w:t>
            </w:r>
            <w:r w:rsidRPr="0079550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550C" w:rsidRPr="0079550C" w:rsidRDefault="0079550C" w:rsidP="00C87F99">
            <w:pPr>
              <w:jc w:val="center"/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>TAK, konfiguracja opcjonalna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550C" w:rsidRPr="0079550C" w:rsidRDefault="0079550C" w:rsidP="00C87F99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DE6081">
        <w:trPr>
          <w:trHeight w:val="474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CD4C1A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Uchwyt ścienny z możliwością obracania w min. 3 płaszczyznach z możliwością wypięcia monitora bez użycia narzędzi.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550C" w:rsidRPr="0079550C" w:rsidRDefault="0079550C" w:rsidP="00CD4C1A">
            <w:pPr>
              <w:jc w:val="center"/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>TAK, możliwość zakupu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550C" w:rsidRPr="0079550C" w:rsidRDefault="0079550C" w:rsidP="00CD4C1A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DE6081">
        <w:trPr>
          <w:trHeight w:val="1412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b/>
                <w:sz w:val="20"/>
              </w:rPr>
              <w:t>Akcesoria</w:t>
            </w:r>
            <w:r w:rsidRPr="0079550C">
              <w:rPr>
                <w:rFonts w:ascii="Tahoma" w:hAnsi="Tahoma" w:cs="Tahoma"/>
                <w:sz w:val="20"/>
              </w:rPr>
              <w:t xml:space="preserve"> - dla 1 kardiomonitora:</w:t>
            </w:r>
            <w:r w:rsidRPr="0079550C">
              <w:rPr>
                <w:rFonts w:ascii="Tahoma" w:hAnsi="Tahoma" w:cs="Tahoma"/>
                <w:sz w:val="20"/>
              </w:rPr>
              <w:br/>
              <w:t>- mankiet do pomiaru NIBP, rozmiar średni dla dorosłych 27-35cm</w:t>
            </w:r>
            <w:r w:rsidRPr="0079550C">
              <w:rPr>
                <w:rFonts w:ascii="Tahoma" w:hAnsi="Tahoma" w:cs="Tahoma"/>
                <w:sz w:val="20"/>
              </w:rPr>
              <w:br/>
              <w:t xml:space="preserve">- przewód NIBP </w:t>
            </w:r>
            <w:r w:rsidRPr="0079550C">
              <w:rPr>
                <w:rFonts w:ascii="Tahoma" w:hAnsi="Tahoma" w:cs="Tahoma"/>
                <w:sz w:val="20"/>
              </w:rPr>
              <w:br/>
              <w:t>- kabel EKG 5-odprowadzeniowy typu żabka</w:t>
            </w:r>
            <w:r w:rsidRPr="0079550C">
              <w:rPr>
                <w:rFonts w:ascii="Tahoma" w:hAnsi="Tahoma" w:cs="Tahoma"/>
                <w:sz w:val="20"/>
              </w:rPr>
              <w:br/>
              <w:t>- wielorazowy czujnik SPO2 typu klips dla dorosłych</w:t>
            </w:r>
          </w:p>
          <w:p w:rsidR="0079550C" w:rsidRPr="0079550C" w:rsidRDefault="0079550C" w:rsidP="007464F7">
            <w:pPr>
              <w:rPr>
                <w:rFonts w:ascii="Tahoma" w:hAnsi="Tahoma" w:cs="Tahoma"/>
                <w:color w:val="FF0000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>- 1 bateria.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rPr>
                <w:rFonts w:ascii="Tahoma" w:hAnsi="Tahoma" w:cs="Tahoma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79550C" w:rsidRPr="0079550C" w:rsidTr="00DE6081">
        <w:trPr>
          <w:trHeight w:val="39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Deklaracja zgodności, CE oraz wpis do rejestru wyrobów medycznych. Certyfikat poświadczający zgodność z dyrektywą 2011/65/EU.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DE6081">
        <w:trPr>
          <w:trHeight w:val="312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550C" w:rsidRPr="0079550C" w:rsidRDefault="0079550C" w:rsidP="00074533">
            <w:pPr>
              <w:rPr>
                <w:rFonts w:ascii="Tahoma" w:hAnsi="Tahoma" w:cs="Tahoma"/>
                <w:sz w:val="20"/>
              </w:rPr>
            </w:pPr>
            <w:r w:rsidRPr="0079550C">
              <w:rPr>
                <w:rFonts w:ascii="Tahoma" w:hAnsi="Tahoma" w:cs="Tahoma"/>
                <w:sz w:val="20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79550C" w:rsidRPr="0079550C" w:rsidRDefault="0079550C" w:rsidP="007464F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TAK, podać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9550C" w:rsidRPr="0079550C" w:rsidRDefault="0079550C" w:rsidP="007464F7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79550C" w:rsidTr="00DE6081">
        <w:trPr>
          <w:trHeight w:val="254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61628F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79550C">
              <w:rPr>
                <w:rFonts w:ascii="Tahoma" w:eastAsiaTheme="minorHAnsi" w:hAnsi="Tahoma" w:cs="Tahoma"/>
                <w:b/>
                <w:sz w:val="20"/>
                <w:lang w:eastAsia="en-US"/>
              </w:rPr>
              <w:t xml:space="preserve">Gwarancja </w:t>
            </w:r>
            <w:r w:rsidRPr="0079550C">
              <w:rPr>
                <w:rFonts w:ascii="Tahoma" w:eastAsiaTheme="minorHAnsi" w:hAnsi="Tahoma" w:cs="Tahoma"/>
                <w:sz w:val="20"/>
                <w:lang w:eastAsia="en-US"/>
              </w:rPr>
              <w:t xml:space="preserve">- min. 24 miesiące na kardiomonitor. Gwarancja min. 6 miesięcy na akcesoria (z wyłączeniem przypadków naturalnego zużycia). Gwarancja dostępności oryginalnych części zamiennych przez min. 10 lat. 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TAK, podać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79550C" w:rsidRPr="00692492" w:rsidTr="00DE6081">
        <w:trPr>
          <w:trHeight w:val="286"/>
        </w:trPr>
        <w:tc>
          <w:tcPr>
            <w:tcW w:w="0" w:type="auto"/>
            <w:shd w:val="clear" w:color="auto" w:fill="auto"/>
          </w:tcPr>
          <w:p w:rsidR="0079550C" w:rsidRPr="005E5170" w:rsidRDefault="0079550C" w:rsidP="005E5170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lang w:eastAsia="en-US"/>
              </w:rPr>
            </w:pPr>
            <w:r w:rsidRPr="0079550C">
              <w:rPr>
                <w:rFonts w:ascii="Tahoma" w:eastAsiaTheme="minorHAnsi" w:hAnsi="Tahoma" w:cs="Tahoma"/>
                <w:sz w:val="20"/>
                <w:lang w:eastAsia="en-US"/>
              </w:rPr>
              <w:t>Instrukcja pisemna w j</w:t>
            </w:r>
            <w:r w:rsidRPr="0079550C">
              <w:rPr>
                <w:rFonts w:ascii="Tahoma" w:eastAsia="TimesNewRoman" w:hAnsi="Tahoma" w:cs="Tahoma"/>
                <w:sz w:val="20"/>
                <w:lang w:eastAsia="en-US"/>
              </w:rPr>
              <w:t>ę</w:t>
            </w:r>
            <w:r w:rsidRPr="0079550C">
              <w:rPr>
                <w:rFonts w:ascii="Tahoma" w:eastAsiaTheme="minorHAnsi" w:hAnsi="Tahoma" w:cs="Tahoma"/>
                <w:sz w:val="20"/>
                <w:lang w:eastAsia="en-US"/>
              </w:rPr>
              <w:t>z. polskim.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79550C">
              <w:rPr>
                <w:rFonts w:ascii="Tahoma" w:hAnsi="Tahoma" w:cs="Tahoma"/>
                <w:color w:val="000000"/>
                <w:sz w:val="20"/>
              </w:rPr>
              <w:t>TAK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9550C" w:rsidRPr="0079550C" w:rsidRDefault="0079550C" w:rsidP="007464F7">
            <w:pPr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:rsidR="00DE6081" w:rsidRDefault="00DE6081" w:rsidP="00DE6081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Powyższe warunki graniczne stanowią wymagania odcinające. </w:t>
      </w:r>
    </w:p>
    <w:p w:rsidR="00DE6081" w:rsidRDefault="00DE6081" w:rsidP="00DE6081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spełnienie nawet jednego z w/w wymagań spowoduje odrzucenie oferty.</w:t>
      </w:r>
    </w:p>
    <w:p w:rsidR="00DE6081" w:rsidRDefault="00DE6081" w:rsidP="00DE6081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Brak opisu będzie traktowany jako brak danego parametru w oferowanej</w:t>
      </w:r>
    </w:p>
    <w:p w:rsidR="00DE6081" w:rsidRDefault="00DE6081" w:rsidP="00DE6081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konfiguracji urządzenia. </w:t>
      </w:r>
    </w:p>
    <w:p w:rsidR="00DE6081" w:rsidRDefault="00DE6081" w:rsidP="00DE6081">
      <w:pPr>
        <w:pStyle w:val="Normalny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Oświadczamy, że oferowane powyżej wyspecyfikowane urządzenie jest kompletne i będzie gotowe do użytkowania bez żadnych dodatkowych zakupów i inwestycji.</w:t>
      </w:r>
    </w:p>
    <w:p w:rsidR="00DE6081" w:rsidRDefault="00DE6081" w:rsidP="00DE6081"/>
    <w:p w:rsidR="00DE6081" w:rsidRDefault="00DE6081" w:rsidP="00DE6081"/>
    <w:p w:rsidR="00DE6081" w:rsidRDefault="00DE6081" w:rsidP="00DE6081"/>
    <w:p w:rsidR="00DE6081" w:rsidRDefault="00DE6081" w:rsidP="00DE6081">
      <w:pPr>
        <w:pStyle w:val="NormalnyWeb"/>
        <w:spacing w:after="0"/>
        <w:ind w:left="5817" w:firstLine="278"/>
      </w:pPr>
      <w:r>
        <w:t>.................................................</w:t>
      </w:r>
    </w:p>
    <w:p w:rsidR="00DE6081" w:rsidRDefault="00DE6081" w:rsidP="00DE6081">
      <w:pPr>
        <w:pStyle w:val="NormalnyWeb"/>
        <w:spacing w:after="0"/>
        <w:ind w:left="6095" w:firstLine="278"/>
        <w:rPr>
          <w:sz w:val="20"/>
          <w:szCs w:val="20"/>
        </w:rPr>
      </w:pPr>
      <w:r>
        <w:t>(</w:t>
      </w:r>
      <w:r>
        <w:rPr>
          <w:sz w:val="20"/>
          <w:szCs w:val="20"/>
        </w:rPr>
        <w:t>pieczątka i podpis Wykonawcy)</w:t>
      </w:r>
    </w:p>
    <w:p w:rsidR="00DE6081" w:rsidRDefault="00DE6081" w:rsidP="00DE6081"/>
    <w:p w:rsidR="00E87FB2" w:rsidRDefault="00E87FB2" w:rsidP="005E5170"/>
    <w:sectPr w:rsidR="00E87FB2" w:rsidSect="00CD4C1A">
      <w:pgSz w:w="11906" w:h="16838"/>
      <w:pgMar w:top="973" w:right="1417" w:bottom="1417" w:left="1417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A54" w:rsidRDefault="005D2A54" w:rsidP="00CD4C1A">
      <w:r>
        <w:separator/>
      </w:r>
    </w:p>
  </w:endnote>
  <w:endnote w:type="continuationSeparator" w:id="0">
    <w:p w:rsidR="005D2A54" w:rsidRDefault="005D2A54" w:rsidP="00CD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A54" w:rsidRDefault="005D2A54" w:rsidP="00CD4C1A">
      <w:r>
        <w:separator/>
      </w:r>
    </w:p>
  </w:footnote>
  <w:footnote w:type="continuationSeparator" w:id="0">
    <w:p w:rsidR="005D2A54" w:rsidRDefault="005D2A54" w:rsidP="00CD4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AB2"/>
    <w:multiLevelType w:val="hybridMultilevel"/>
    <w:tmpl w:val="BBF43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34B7"/>
    <w:rsid w:val="00007089"/>
    <w:rsid w:val="00010975"/>
    <w:rsid w:val="000115DB"/>
    <w:rsid w:val="00013DC4"/>
    <w:rsid w:val="00015F40"/>
    <w:rsid w:val="00017010"/>
    <w:rsid w:val="00020750"/>
    <w:rsid w:val="000213E4"/>
    <w:rsid w:val="00025703"/>
    <w:rsid w:val="00025A50"/>
    <w:rsid w:val="00032B66"/>
    <w:rsid w:val="00036FE2"/>
    <w:rsid w:val="00037E69"/>
    <w:rsid w:val="00043FD4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7483"/>
    <w:rsid w:val="00070784"/>
    <w:rsid w:val="00071080"/>
    <w:rsid w:val="00071B59"/>
    <w:rsid w:val="00074533"/>
    <w:rsid w:val="000767CD"/>
    <w:rsid w:val="000816F6"/>
    <w:rsid w:val="00081DF9"/>
    <w:rsid w:val="00082368"/>
    <w:rsid w:val="00084708"/>
    <w:rsid w:val="00084EF2"/>
    <w:rsid w:val="000851C9"/>
    <w:rsid w:val="00086381"/>
    <w:rsid w:val="00087D57"/>
    <w:rsid w:val="00090BA4"/>
    <w:rsid w:val="000929C3"/>
    <w:rsid w:val="00093BFD"/>
    <w:rsid w:val="000A671B"/>
    <w:rsid w:val="000B0F5C"/>
    <w:rsid w:val="000B2D3E"/>
    <w:rsid w:val="000B3024"/>
    <w:rsid w:val="000B48E2"/>
    <w:rsid w:val="000C3A28"/>
    <w:rsid w:val="000C652F"/>
    <w:rsid w:val="000D180C"/>
    <w:rsid w:val="000D4F7D"/>
    <w:rsid w:val="000E2C79"/>
    <w:rsid w:val="000E3023"/>
    <w:rsid w:val="000F3E95"/>
    <w:rsid w:val="000F6778"/>
    <w:rsid w:val="000F6DB0"/>
    <w:rsid w:val="001024ED"/>
    <w:rsid w:val="001047B0"/>
    <w:rsid w:val="00105402"/>
    <w:rsid w:val="001078A9"/>
    <w:rsid w:val="00113D61"/>
    <w:rsid w:val="0011725D"/>
    <w:rsid w:val="001217DC"/>
    <w:rsid w:val="00121D4E"/>
    <w:rsid w:val="001239CC"/>
    <w:rsid w:val="00123D77"/>
    <w:rsid w:val="001304E3"/>
    <w:rsid w:val="001316D0"/>
    <w:rsid w:val="00132740"/>
    <w:rsid w:val="00133743"/>
    <w:rsid w:val="00136664"/>
    <w:rsid w:val="0014545F"/>
    <w:rsid w:val="00147D53"/>
    <w:rsid w:val="00147DD3"/>
    <w:rsid w:val="00147F63"/>
    <w:rsid w:val="001506B9"/>
    <w:rsid w:val="001548EE"/>
    <w:rsid w:val="00155103"/>
    <w:rsid w:val="0015656A"/>
    <w:rsid w:val="00156A62"/>
    <w:rsid w:val="00163058"/>
    <w:rsid w:val="00163B2E"/>
    <w:rsid w:val="00164532"/>
    <w:rsid w:val="00171E76"/>
    <w:rsid w:val="001749C4"/>
    <w:rsid w:val="001753B0"/>
    <w:rsid w:val="0017561A"/>
    <w:rsid w:val="00177117"/>
    <w:rsid w:val="00177131"/>
    <w:rsid w:val="0017746A"/>
    <w:rsid w:val="00180E54"/>
    <w:rsid w:val="0018268E"/>
    <w:rsid w:val="00184D5E"/>
    <w:rsid w:val="00186213"/>
    <w:rsid w:val="00186FCE"/>
    <w:rsid w:val="00190E66"/>
    <w:rsid w:val="00191BE8"/>
    <w:rsid w:val="001948D3"/>
    <w:rsid w:val="001952C7"/>
    <w:rsid w:val="00197DA9"/>
    <w:rsid w:val="001A07A7"/>
    <w:rsid w:val="001A15F6"/>
    <w:rsid w:val="001B3B02"/>
    <w:rsid w:val="001B3DB1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73E8"/>
    <w:rsid w:val="001F0221"/>
    <w:rsid w:val="001F4157"/>
    <w:rsid w:val="001F5161"/>
    <w:rsid w:val="00200DA5"/>
    <w:rsid w:val="002036AD"/>
    <w:rsid w:val="00203975"/>
    <w:rsid w:val="002068B6"/>
    <w:rsid w:val="00220BDD"/>
    <w:rsid w:val="00223FA1"/>
    <w:rsid w:val="00225029"/>
    <w:rsid w:val="00225DF7"/>
    <w:rsid w:val="0023226C"/>
    <w:rsid w:val="0023276A"/>
    <w:rsid w:val="002351F9"/>
    <w:rsid w:val="0023556C"/>
    <w:rsid w:val="00240400"/>
    <w:rsid w:val="00252C8A"/>
    <w:rsid w:val="00254AD1"/>
    <w:rsid w:val="00256E4B"/>
    <w:rsid w:val="00257348"/>
    <w:rsid w:val="00257C49"/>
    <w:rsid w:val="002605D8"/>
    <w:rsid w:val="00260626"/>
    <w:rsid w:val="002640FA"/>
    <w:rsid w:val="002645B3"/>
    <w:rsid w:val="00264FB5"/>
    <w:rsid w:val="00270348"/>
    <w:rsid w:val="002752A1"/>
    <w:rsid w:val="00275468"/>
    <w:rsid w:val="00275E40"/>
    <w:rsid w:val="00277A1C"/>
    <w:rsid w:val="00281953"/>
    <w:rsid w:val="0028357E"/>
    <w:rsid w:val="00284638"/>
    <w:rsid w:val="00286786"/>
    <w:rsid w:val="00290127"/>
    <w:rsid w:val="00293BFB"/>
    <w:rsid w:val="00296F7B"/>
    <w:rsid w:val="00297136"/>
    <w:rsid w:val="002975FA"/>
    <w:rsid w:val="002A44D7"/>
    <w:rsid w:val="002A4E5A"/>
    <w:rsid w:val="002A4F2A"/>
    <w:rsid w:val="002A7547"/>
    <w:rsid w:val="002B062D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647D"/>
    <w:rsid w:val="002C7252"/>
    <w:rsid w:val="002D0664"/>
    <w:rsid w:val="002D2F3A"/>
    <w:rsid w:val="002D31EA"/>
    <w:rsid w:val="002D4439"/>
    <w:rsid w:val="002E3991"/>
    <w:rsid w:val="002E5DC5"/>
    <w:rsid w:val="002E61F6"/>
    <w:rsid w:val="002E6758"/>
    <w:rsid w:val="002F00A5"/>
    <w:rsid w:val="002F2D08"/>
    <w:rsid w:val="002F505A"/>
    <w:rsid w:val="003007C7"/>
    <w:rsid w:val="003021AC"/>
    <w:rsid w:val="00302F50"/>
    <w:rsid w:val="003059E6"/>
    <w:rsid w:val="00307A96"/>
    <w:rsid w:val="003119D8"/>
    <w:rsid w:val="00313519"/>
    <w:rsid w:val="00316E56"/>
    <w:rsid w:val="00316E92"/>
    <w:rsid w:val="003174FD"/>
    <w:rsid w:val="003212C6"/>
    <w:rsid w:val="0032437C"/>
    <w:rsid w:val="00325F53"/>
    <w:rsid w:val="00326890"/>
    <w:rsid w:val="00327C85"/>
    <w:rsid w:val="00330B1B"/>
    <w:rsid w:val="00330F68"/>
    <w:rsid w:val="00331A3B"/>
    <w:rsid w:val="00335BF9"/>
    <w:rsid w:val="00340145"/>
    <w:rsid w:val="00341546"/>
    <w:rsid w:val="0034278C"/>
    <w:rsid w:val="00342879"/>
    <w:rsid w:val="00344ED5"/>
    <w:rsid w:val="0034689C"/>
    <w:rsid w:val="00346F6A"/>
    <w:rsid w:val="003476DD"/>
    <w:rsid w:val="003573BC"/>
    <w:rsid w:val="003671FB"/>
    <w:rsid w:val="00373839"/>
    <w:rsid w:val="00376E1B"/>
    <w:rsid w:val="00380FBB"/>
    <w:rsid w:val="003817F3"/>
    <w:rsid w:val="003823D5"/>
    <w:rsid w:val="003851C0"/>
    <w:rsid w:val="00387DE7"/>
    <w:rsid w:val="00390158"/>
    <w:rsid w:val="003930E9"/>
    <w:rsid w:val="00393D95"/>
    <w:rsid w:val="00395B60"/>
    <w:rsid w:val="003961B1"/>
    <w:rsid w:val="003971A9"/>
    <w:rsid w:val="003A212D"/>
    <w:rsid w:val="003A21EF"/>
    <w:rsid w:val="003B07E3"/>
    <w:rsid w:val="003B0E80"/>
    <w:rsid w:val="003B5692"/>
    <w:rsid w:val="003B7C90"/>
    <w:rsid w:val="003C04BB"/>
    <w:rsid w:val="003C20F8"/>
    <w:rsid w:val="003C25D7"/>
    <w:rsid w:val="003C3446"/>
    <w:rsid w:val="003D45E6"/>
    <w:rsid w:val="003D4AEA"/>
    <w:rsid w:val="003D55A2"/>
    <w:rsid w:val="003D5E24"/>
    <w:rsid w:val="003D6C4E"/>
    <w:rsid w:val="003E044B"/>
    <w:rsid w:val="003E0769"/>
    <w:rsid w:val="003E44B7"/>
    <w:rsid w:val="003F3B88"/>
    <w:rsid w:val="003F3F4B"/>
    <w:rsid w:val="003F47E4"/>
    <w:rsid w:val="003F7E0F"/>
    <w:rsid w:val="003F7F7C"/>
    <w:rsid w:val="004016F5"/>
    <w:rsid w:val="004149B4"/>
    <w:rsid w:val="00423ED9"/>
    <w:rsid w:val="00425DD1"/>
    <w:rsid w:val="0043043E"/>
    <w:rsid w:val="004312EB"/>
    <w:rsid w:val="004317AA"/>
    <w:rsid w:val="0043252B"/>
    <w:rsid w:val="00432CEE"/>
    <w:rsid w:val="0043428F"/>
    <w:rsid w:val="004342EB"/>
    <w:rsid w:val="00435C01"/>
    <w:rsid w:val="00437A6F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745F"/>
    <w:rsid w:val="004611F7"/>
    <w:rsid w:val="00467D12"/>
    <w:rsid w:val="0047041B"/>
    <w:rsid w:val="00470465"/>
    <w:rsid w:val="00470466"/>
    <w:rsid w:val="00472F8E"/>
    <w:rsid w:val="004805F9"/>
    <w:rsid w:val="0048233F"/>
    <w:rsid w:val="0048274D"/>
    <w:rsid w:val="00483794"/>
    <w:rsid w:val="00483AC3"/>
    <w:rsid w:val="00483C6C"/>
    <w:rsid w:val="0048471C"/>
    <w:rsid w:val="00485992"/>
    <w:rsid w:val="00487999"/>
    <w:rsid w:val="004949F0"/>
    <w:rsid w:val="00495976"/>
    <w:rsid w:val="004A028B"/>
    <w:rsid w:val="004A122B"/>
    <w:rsid w:val="004A351E"/>
    <w:rsid w:val="004B1555"/>
    <w:rsid w:val="004B1DAB"/>
    <w:rsid w:val="004B6D03"/>
    <w:rsid w:val="004C045F"/>
    <w:rsid w:val="004C1B58"/>
    <w:rsid w:val="004C2B2C"/>
    <w:rsid w:val="004C6B3A"/>
    <w:rsid w:val="004C7986"/>
    <w:rsid w:val="004C7DCC"/>
    <w:rsid w:val="004D21FB"/>
    <w:rsid w:val="004D33D9"/>
    <w:rsid w:val="004D7A18"/>
    <w:rsid w:val="004E344B"/>
    <w:rsid w:val="004E620D"/>
    <w:rsid w:val="004E72FE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21A9"/>
    <w:rsid w:val="00522BAC"/>
    <w:rsid w:val="00522C19"/>
    <w:rsid w:val="005252B9"/>
    <w:rsid w:val="00527D98"/>
    <w:rsid w:val="00532BD8"/>
    <w:rsid w:val="00532BE9"/>
    <w:rsid w:val="005343BF"/>
    <w:rsid w:val="00534F1E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32F"/>
    <w:rsid w:val="00555EF8"/>
    <w:rsid w:val="005633AB"/>
    <w:rsid w:val="00563679"/>
    <w:rsid w:val="0056370C"/>
    <w:rsid w:val="00564444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77B"/>
    <w:rsid w:val="005825A6"/>
    <w:rsid w:val="005845FA"/>
    <w:rsid w:val="00584D55"/>
    <w:rsid w:val="00585A0A"/>
    <w:rsid w:val="00590EDA"/>
    <w:rsid w:val="00594A5C"/>
    <w:rsid w:val="00596CFC"/>
    <w:rsid w:val="005A1557"/>
    <w:rsid w:val="005A40B6"/>
    <w:rsid w:val="005A6315"/>
    <w:rsid w:val="005A7125"/>
    <w:rsid w:val="005A7FBF"/>
    <w:rsid w:val="005B1327"/>
    <w:rsid w:val="005B5A0D"/>
    <w:rsid w:val="005B735D"/>
    <w:rsid w:val="005C05B0"/>
    <w:rsid w:val="005C0C5D"/>
    <w:rsid w:val="005C5BFB"/>
    <w:rsid w:val="005C7DA4"/>
    <w:rsid w:val="005D017E"/>
    <w:rsid w:val="005D0541"/>
    <w:rsid w:val="005D06F5"/>
    <w:rsid w:val="005D0F35"/>
    <w:rsid w:val="005D2A54"/>
    <w:rsid w:val="005D3346"/>
    <w:rsid w:val="005D65B0"/>
    <w:rsid w:val="005E03A5"/>
    <w:rsid w:val="005E21B0"/>
    <w:rsid w:val="005E267B"/>
    <w:rsid w:val="005E5170"/>
    <w:rsid w:val="005F03E9"/>
    <w:rsid w:val="005F181C"/>
    <w:rsid w:val="005F1C0B"/>
    <w:rsid w:val="005F348B"/>
    <w:rsid w:val="005F3B2F"/>
    <w:rsid w:val="005F4036"/>
    <w:rsid w:val="005F4A6A"/>
    <w:rsid w:val="005F6604"/>
    <w:rsid w:val="005F742F"/>
    <w:rsid w:val="00600212"/>
    <w:rsid w:val="006005AE"/>
    <w:rsid w:val="00604220"/>
    <w:rsid w:val="00605117"/>
    <w:rsid w:val="00606193"/>
    <w:rsid w:val="0060699F"/>
    <w:rsid w:val="0060779D"/>
    <w:rsid w:val="00613246"/>
    <w:rsid w:val="00613DD4"/>
    <w:rsid w:val="0061476F"/>
    <w:rsid w:val="0061554F"/>
    <w:rsid w:val="0061628F"/>
    <w:rsid w:val="006222EA"/>
    <w:rsid w:val="00624562"/>
    <w:rsid w:val="00630065"/>
    <w:rsid w:val="006308B7"/>
    <w:rsid w:val="00631E45"/>
    <w:rsid w:val="006324DC"/>
    <w:rsid w:val="00633C29"/>
    <w:rsid w:val="006369C3"/>
    <w:rsid w:val="006403B7"/>
    <w:rsid w:val="00642D2C"/>
    <w:rsid w:val="006432A5"/>
    <w:rsid w:val="0064563C"/>
    <w:rsid w:val="00645C0A"/>
    <w:rsid w:val="006466F1"/>
    <w:rsid w:val="00654E6C"/>
    <w:rsid w:val="00656908"/>
    <w:rsid w:val="0066181C"/>
    <w:rsid w:val="00661BD6"/>
    <w:rsid w:val="00664005"/>
    <w:rsid w:val="00666BCF"/>
    <w:rsid w:val="00666F66"/>
    <w:rsid w:val="00667821"/>
    <w:rsid w:val="0067399B"/>
    <w:rsid w:val="0067558C"/>
    <w:rsid w:val="00675DE5"/>
    <w:rsid w:val="00681AD7"/>
    <w:rsid w:val="0068218E"/>
    <w:rsid w:val="00682D06"/>
    <w:rsid w:val="0068477F"/>
    <w:rsid w:val="006862B3"/>
    <w:rsid w:val="0068652E"/>
    <w:rsid w:val="00687D07"/>
    <w:rsid w:val="00690DE2"/>
    <w:rsid w:val="00692284"/>
    <w:rsid w:val="0069298D"/>
    <w:rsid w:val="00696F89"/>
    <w:rsid w:val="006A496F"/>
    <w:rsid w:val="006A4973"/>
    <w:rsid w:val="006A68E1"/>
    <w:rsid w:val="006B130F"/>
    <w:rsid w:val="006B489B"/>
    <w:rsid w:val="006B7658"/>
    <w:rsid w:val="006C1428"/>
    <w:rsid w:val="006C4C5B"/>
    <w:rsid w:val="006C5095"/>
    <w:rsid w:val="006C6071"/>
    <w:rsid w:val="006C7B00"/>
    <w:rsid w:val="006D4CFE"/>
    <w:rsid w:val="006D5D1E"/>
    <w:rsid w:val="006D754C"/>
    <w:rsid w:val="006D7D80"/>
    <w:rsid w:val="006D7EEE"/>
    <w:rsid w:val="006E2162"/>
    <w:rsid w:val="006E336D"/>
    <w:rsid w:val="006E52EC"/>
    <w:rsid w:val="006E5539"/>
    <w:rsid w:val="006E7E15"/>
    <w:rsid w:val="006F0503"/>
    <w:rsid w:val="006F09BC"/>
    <w:rsid w:val="006F118B"/>
    <w:rsid w:val="006F27F4"/>
    <w:rsid w:val="006F3A22"/>
    <w:rsid w:val="006F3C63"/>
    <w:rsid w:val="00703E8E"/>
    <w:rsid w:val="0070759E"/>
    <w:rsid w:val="00710990"/>
    <w:rsid w:val="0071224C"/>
    <w:rsid w:val="007132AC"/>
    <w:rsid w:val="0072070E"/>
    <w:rsid w:val="00720A9F"/>
    <w:rsid w:val="007215ED"/>
    <w:rsid w:val="0072204C"/>
    <w:rsid w:val="007247C8"/>
    <w:rsid w:val="007308D4"/>
    <w:rsid w:val="00730DC1"/>
    <w:rsid w:val="007310F2"/>
    <w:rsid w:val="007319C1"/>
    <w:rsid w:val="00732576"/>
    <w:rsid w:val="00735532"/>
    <w:rsid w:val="007373BE"/>
    <w:rsid w:val="0074197A"/>
    <w:rsid w:val="00741F17"/>
    <w:rsid w:val="00742CA2"/>
    <w:rsid w:val="00744355"/>
    <w:rsid w:val="00745863"/>
    <w:rsid w:val="007464F7"/>
    <w:rsid w:val="007466E6"/>
    <w:rsid w:val="00751BBB"/>
    <w:rsid w:val="007522E2"/>
    <w:rsid w:val="00752352"/>
    <w:rsid w:val="0075480F"/>
    <w:rsid w:val="00754F8A"/>
    <w:rsid w:val="0075504A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9550C"/>
    <w:rsid w:val="007A34F7"/>
    <w:rsid w:val="007A5727"/>
    <w:rsid w:val="007B02CA"/>
    <w:rsid w:val="007B0674"/>
    <w:rsid w:val="007B0CFC"/>
    <w:rsid w:val="007B1CAF"/>
    <w:rsid w:val="007B4D81"/>
    <w:rsid w:val="007B729E"/>
    <w:rsid w:val="007C0D7E"/>
    <w:rsid w:val="007D108E"/>
    <w:rsid w:val="007D468D"/>
    <w:rsid w:val="007D4C0B"/>
    <w:rsid w:val="007D6025"/>
    <w:rsid w:val="007D605A"/>
    <w:rsid w:val="007D7063"/>
    <w:rsid w:val="007E1F4E"/>
    <w:rsid w:val="007E2B2F"/>
    <w:rsid w:val="007E4934"/>
    <w:rsid w:val="007E6BCD"/>
    <w:rsid w:val="007F30BB"/>
    <w:rsid w:val="007F3D3E"/>
    <w:rsid w:val="007F4F6A"/>
    <w:rsid w:val="007F733C"/>
    <w:rsid w:val="007F746B"/>
    <w:rsid w:val="00801FCB"/>
    <w:rsid w:val="00802444"/>
    <w:rsid w:val="00802A84"/>
    <w:rsid w:val="008071AC"/>
    <w:rsid w:val="00807DDD"/>
    <w:rsid w:val="00815E8A"/>
    <w:rsid w:val="00816F1B"/>
    <w:rsid w:val="00822988"/>
    <w:rsid w:val="00822FBD"/>
    <w:rsid w:val="008261EA"/>
    <w:rsid w:val="008268E2"/>
    <w:rsid w:val="00826B6A"/>
    <w:rsid w:val="00831583"/>
    <w:rsid w:val="00835AE7"/>
    <w:rsid w:val="00837862"/>
    <w:rsid w:val="0084122E"/>
    <w:rsid w:val="00844028"/>
    <w:rsid w:val="00844E90"/>
    <w:rsid w:val="00846F67"/>
    <w:rsid w:val="0084713A"/>
    <w:rsid w:val="00857776"/>
    <w:rsid w:val="00863212"/>
    <w:rsid w:val="00863244"/>
    <w:rsid w:val="00863B04"/>
    <w:rsid w:val="008640C4"/>
    <w:rsid w:val="00864F93"/>
    <w:rsid w:val="00871EF7"/>
    <w:rsid w:val="0087423A"/>
    <w:rsid w:val="00875A77"/>
    <w:rsid w:val="00877356"/>
    <w:rsid w:val="0088112B"/>
    <w:rsid w:val="008833B2"/>
    <w:rsid w:val="008850D0"/>
    <w:rsid w:val="0088601A"/>
    <w:rsid w:val="00886773"/>
    <w:rsid w:val="00886FF2"/>
    <w:rsid w:val="008873DE"/>
    <w:rsid w:val="0089117A"/>
    <w:rsid w:val="008936C0"/>
    <w:rsid w:val="008A4883"/>
    <w:rsid w:val="008A5D25"/>
    <w:rsid w:val="008A6150"/>
    <w:rsid w:val="008A6A0C"/>
    <w:rsid w:val="008B2FF6"/>
    <w:rsid w:val="008B31E3"/>
    <w:rsid w:val="008B556B"/>
    <w:rsid w:val="008C0110"/>
    <w:rsid w:val="008C0A17"/>
    <w:rsid w:val="008C3833"/>
    <w:rsid w:val="008C4011"/>
    <w:rsid w:val="008C43EE"/>
    <w:rsid w:val="008D0096"/>
    <w:rsid w:val="008D141F"/>
    <w:rsid w:val="008D2547"/>
    <w:rsid w:val="008D53C1"/>
    <w:rsid w:val="008D5E06"/>
    <w:rsid w:val="008E0AB6"/>
    <w:rsid w:val="008E15C3"/>
    <w:rsid w:val="008E17D2"/>
    <w:rsid w:val="008E240D"/>
    <w:rsid w:val="008E4A16"/>
    <w:rsid w:val="008E4AEE"/>
    <w:rsid w:val="008E7289"/>
    <w:rsid w:val="008F1113"/>
    <w:rsid w:val="008F20C3"/>
    <w:rsid w:val="008F3CAF"/>
    <w:rsid w:val="0090212C"/>
    <w:rsid w:val="00904D38"/>
    <w:rsid w:val="00905F1F"/>
    <w:rsid w:val="009103BC"/>
    <w:rsid w:val="00915103"/>
    <w:rsid w:val="00916F31"/>
    <w:rsid w:val="009171E9"/>
    <w:rsid w:val="009176CD"/>
    <w:rsid w:val="009178DD"/>
    <w:rsid w:val="00920D05"/>
    <w:rsid w:val="0092294A"/>
    <w:rsid w:val="00925615"/>
    <w:rsid w:val="009274AB"/>
    <w:rsid w:val="00930353"/>
    <w:rsid w:val="009331B7"/>
    <w:rsid w:val="00935C77"/>
    <w:rsid w:val="00940CD0"/>
    <w:rsid w:val="009423DC"/>
    <w:rsid w:val="00945B94"/>
    <w:rsid w:val="00947353"/>
    <w:rsid w:val="00947736"/>
    <w:rsid w:val="0095117F"/>
    <w:rsid w:val="00956AC6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6337"/>
    <w:rsid w:val="009770ED"/>
    <w:rsid w:val="00980CA0"/>
    <w:rsid w:val="0098388E"/>
    <w:rsid w:val="009841A0"/>
    <w:rsid w:val="00991011"/>
    <w:rsid w:val="0099248E"/>
    <w:rsid w:val="009935A7"/>
    <w:rsid w:val="00993CAD"/>
    <w:rsid w:val="0099437B"/>
    <w:rsid w:val="00995125"/>
    <w:rsid w:val="009A1462"/>
    <w:rsid w:val="009A3DB2"/>
    <w:rsid w:val="009A5905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C1619"/>
    <w:rsid w:val="009C1CE3"/>
    <w:rsid w:val="009C52D7"/>
    <w:rsid w:val="009C60C9"/>
    <w:rsid w:val="009C7965"/>
    <w:rsid w:val="009D0681"/>
    <w:rsid w:val="009D0F21"/>
    <w:rsid w:val="009D154D"/>
    <w:rsid w:val="009D2E86"/>
    <w:rsid w:val="009D6DCE"/>
    <w:rsid w:val="009E2C50"/>
    <w:rsid w:val="009E313B"/>
    <w:rsid w:val="009E35C2"/>
    <w:rsid w:val="009E5BC6"/>
    <w:rsid w:val="009E656E"/>
    <w:rsid w:val="009E6701"/>
    <w:rsid w:val="009E79FB"/>
    <w:rsid w:val="009E7C55"/>
    <w:rsid w:val="009F2AF7"/>
    <w:rsid w:val="009F2BB7"/>
    <w:rsid w:val="009F711A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4419"/>
    <w:rsid w:val="00A41E42"/>
    <w:rsid w:val="00A43017"/>
    <w:rsid w:val="00A438C5"/>
    <w:rsid w:val="00A56E0A"/>
    <w:rsid w:val="00A5759D"/>
    <w:rsid w:val="00A6221C"/>
    <w:rsid w:val="00A62F8E"/>
    <w:rsid w:val="00A6400F"/>
    <w:rsid w:val="00A6492A"/>
    <w:rsid w:val="00A73C9B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4F94"/>
    <w:rsid w:val="00A96912"/>
    <w:rsid w:val="00AA4BED"/>
    <w:rsid w:val="00AA66DD"/>
    <w:rsid w:val="00AA7335"/>
    <w:rsid w:val="00AB0BCF"/>
    <w:rsid w:val="00AB2886"/>
    <w:rsid w:val="00AB302D"/>
    <w:rsid w:val="00AB3A28"/>
    <w:rsid w:val="00AB484D"/>
    <w:rsid w:val="00AB722E"/>
    <w:rsid w:val="00AC02EB"/>
    <w:rsid w:val="00AC1A90"/>
    <w:rsid w:val="00AC65D4"/>
    <w:rsid w:val="00AD0D6A"/>
    <w:rsid w:val="00AE0296"/>
    <w:rsid w:val="00AE1431"/>
    <w:rsid w:val="00AE22EF"/>
    <w:rsid w:val="00AE3499"/>
    <w:rsid w:val="00AE7A67"/>
    <w:rsid w:val="00AF16BA"/>
    <w:rsid w:val="00AF1B79"/>
    <w:rsid w:val="00AF409C"/>
    <w:rsid w:val="00AF60E9"/>
    <w:rsid w:val="00AF64DC"/>
    <w:rsid w:val="00AF6A41"/>
    <w:rsid w:val="00AF6A9F"/>
    <w:rsid w:val="00AF6F5C"/>
    <w:rsid w:val="00B00F12"/>
    <w:rsid w:val="00B02CE3"/>
    <w:rsid w:val="00B06B5E"/>
    <w:rsid w:val="00B104EB"/>
    <w:rsid w:val="00B1236A"/>
    <w:rsid w:val="00B2140E"/>
    <w:rsid w:val="00B2736A"/>
    <w:rsid w:val="00B3044F"/>
    <w:rsid w:val="00B30A4D"/>
    <w:rsid w:val="00B33E4E"/>
    <w:rsid w:val="00B36316"/>
    <w:rsid w:val="00B3785A"/>
    <w:rsid w:val="00B41139"/>
    <w:rsid w:val="00B42792"/>
    <w:rsid w:val="00B5013F"/>
    <w:rsid w:val="00B512A8"/>
    <w:rsid w:val="00B52B60"/>
    <w:rsid w:val="00B54FD5"/>
    <w:rsid w:val="00B56F6F"/>
    <w:rsid w:val="00B602D8"/>
    <w:rsid w:val="00B6242D"/>
    <w:rsid w:val="00B640B6"/>
    <w:rsid w:val="00B646AE"/>
    <w:rsid w:val="00B76FDA"/>
    <w:rsid w:val="00B800EF"/>
    <w:rsid w:val="00B82031"/>
    <w:rsid w:val="00B86287"/>
    <w:rsid w:val="00B87C4B"/>
    <w:rsid w:val="00B952BC"/>
    <w:rsid w:val="00B967C8"/>
    <w:rsid w:val="00B96A9A"/>
    <w:rsid w:val="00B972B5"/>
    <w:rsid w:val="00BA0DD4"/>
    <w:rsid w:val="00BB135A"/>
    <w:rsid w:val="00BB2510"/>
    <w:rsid w:val="00BB4E48"/>
    <w:rsid w:val="00BB6A5C"/>
    <w:rsid w:val="00BB76A1"/>
    <w:rsid w:val="00BB7AD1"/>
    <w:rsid w:val="00BC0EE4"/>
    <w:rsid w:val="00BC15AE"/>
    <w:rsid w:val="00BC29DF"/>
    <w:rsid w:val="00BC3482"/>
    <w:rsid w:val="00BC391A"/>
    <w:rsid w:val="00BC5C57"/>
    <w:rsid w:val="00BC7BD3"/>
    <w:rsid w:val="00BD4CC8"/>
    <w:rsid w:val="00BD79D5"/>
    <w:rsid w:val="00BE4C35"/>
    <w:rsid w:val="00BE5B08"/>
    <w:rsid w:val="00BF29FB"/>
    <w:rsid w:val="00BF53F2"/>
    <w:rsid w:val="00BF6283"/>
    <w:rsid w:val="00BF76E4"/>
    <w:rsid w:val="00C009C0"/>
    <w:rsid w:val="00C021FA"/>
    <w:rsid w:val="00C024B8"/>
    <w:rsid w:val="00C053BB"/>
    <w:rsid w:val="00C059EA"/>
    <w:rsid w:val="00C11744"/>
    <w:rsid w:val="00C12C9A"/>
    <w:rsid w:val="00C14472"/>
    <w:rsid w:val="00C16206"/>
    <w:rsid w:val="00C16226"/>
    <w:rsid w:val="00C17494"/>
    <w:rsid w:val="00C223FE"/>
    <w:rsid w:val="00C22E5D"/>
    <w:rsid w:val="00C233F2"/>
    <w:rsid w:val="00C242F6"/>
    <w:rsid w:val="00C24AAC"/>
    <w:rsid w:val="00C25C20"/>
    <w:rsid w:val="00C26926"/>
    <w:rsid w:val="00C30210"/>
    <w:rsid w:val="00C376C9"/>
    <w:rsid w:val="00C41670"/>
    <w:rsid w:val="00C44B3B"/>
    <w:rsid w:val="00C535DB"/>
    <w:rsid w:val="00C56497"/>
    <w:rsid w:val="00C56BE6"/>
    <w:rsid w:val="00C56F2B"/>
    <w:rsid w:val="00C57786"/>
    <w:rsid w:val="00C57A35"/>
    <w:rsid w:val="00C61827"/>
    <w:rsid w:val="00C6216E"/>
    <w:rsid w:val="00C62474"/>
    <w:rsid w:val="00C662FF"/>
    <w:rsid w:val="00C67CA9"/>
    <w:rsid w:val="00C704A2"/>
    <w:rsid w:val="00C729C5"/>
    <w:rsid w:val="00C7314A"/>
    <w:rsid w:val="00C76578"/>
    <w:rsid w:val="00C773EF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58C5"/>
    <w:rsid w:val="00CA78CE"/>
    <w:rsid w:val="00CB03EA"/>
    <w:rsid w:val="00CB1BDE"/>
    <w:rsid w:val="00CB2EFE"/>
    <w:rsid w:val="00CB2F2D"/>
    <w:rsid w:val="00CB6688"/>
    <w:rsid w:val="00CB7DAB"/>
    <w:rsid w:val="00CC4010"/>
    <w:rsid w:val="00CC4051"/>
    <w:rsid w:val="00CC519E"/>
    <w:rsid w:val="00CC5666"/>
    <w:rsid w:val="00CC5B4B"/>
    <w:rsid w:val="00CC621B"/>
    <w:rsid w:val="00CC6747"/>
    <w:rsid w:val="00CD4506"/>
    <w:rsid w:val="00CD4C1A"/>
    <w:rsid w:val="00CD76FA"/>
    <w:rsid w:val="00CE09D2"/>
    <w:rsid w:val="00CE1C14"/>
    <w:rsid w:val="00CE42AA"/>
    <w:rsid w:val="00CE535D"/>
    <w:rsid w:val="00CF17CE"/>
    <w:rsid w:val="00CF387B"/>
    <w:rsid w:val="00CF58D2"/>
    <w:rsid w:val="00D058C4"/>
    <w:rsid w:val="00D07EFC"/>
    <w:rsid w:val="00D10414"/>
    <w:rsid w:val="00D118FE"/>
    <w:rsid w:val="00D12EFF"/>
    <w:rsid w:val="00D148F6"/>
    <w:rsid w:val="00D1716B"/>
    <w:rsid w:val="00D201EF"/>
    <w:rsid w:val="00D21D5F"/>
    <w:rsid w:val="00D21E6B"/>
    <w:rsid w:val="00D23BC8"/>
    <w:rsid w:val="00D25370"/>
    <w:rsid w:val="00D2649B"/>
    <w:rsid w:val="00D32CE8"/>
    <w:rsid w:val="00D33817"/>
    <w:rsid w:val="00D34C64"/>
    <w:rsid w:val="00D34E5E"/>
    <w:rsid w:val="00D37228"/>
    <w:rsid w:val="00D41D2D"/>
    <w:rsid w:val="00D43AC6"/>
    <w:rsid w:val="00D43C23"/>
    <w:rsid w:val="00D44745"/>
    <w:rsid w:val="00D46851"/>
    <w:rsid w:val="00D47249"/>
    <w:rsid w:val="00D47675"/>
    <w:rsid w:val="00D50835"/>
    <w:rsid w:val="00D528FC"/>
    <w:rsid w:val="00D53675"/>
    <w:rsid w:val="00D55086"/>
    <w:rsid w:val="00D57406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580"/>
    <w:rsid w:val="00D84AC9"/>
    <w:rsid w:val="00D86C3C"/>
    <w:rsid w:val="00D879BB"/>
    <w:rsid w:val="00D90348"/>
    <w:rsid w:val="00D9249C"/>
    <w:rsid w:val="00DA242E"/>
    <w:rsid w:val="00DB0ACB"/>
    <w:rsid w:val="00DB0D3C"/>
    <w:rsid w:val="00DB7DA8"/>
    <w:rsid w:val="00DC76E9"/>
    <w:rsid w:val="00DD01C9"/>
    <w:rsid w:val="00DD1545"/>
    <w:rsid w:val="00DD1707"/>
    <w:rsid w:val="00DD23FE"/>
    <w:rsid w:val="00DD2BC7"/>
    <w:rsid w:val="00DE04EC"/>
    <w:rsid w:val="00DE0970"/>
    <w:rsid w:val="00DE1124"/>
    <w:rsid w:val="00DE15A1"/>
    <w:rsid w:val="00DE278F"/>
    <w:rsid w:val="00DE2FD2"/>
    <w:rsid w:val="00DE5BCA"/>
    <w:rsid w:val="00DE6081"/>
    <w:rsid w:val="00DF02AF"/>
    <w:rsid w:val="00DF0ECA"/>
    <w:rsid w:val="00DF3732"/>
    <w:rsid w:val="00DF711B"/>
    <w:rsid w:val="00E028D5"/>
    <w:rsid w:val="00E03CA6"/>
    <w:rsid w:val="00E04DBC"/>
    <w:rsid w:val="00E058C5"/>
    <w:rsid w:val="00E1195B"/>
    <w:rsid w:val="00E11EFC"/>
    <w:rsid w:val="00E174C2"/>
    <w:rsid w:val="00E207B0"/>
    <w:rsid w:val="00E21C39"/>
    <w:rsid w:val="00E239C9"/>
    <w:rsid w:val="00E2634F"/>
    <w:rsid w:val="00E272C6"/>
    <w:rsid w:val="00E27319"/>
    <w:rsid w:val="00E33269"/>
    <w:rsid w:val="00E34532"/>
    <w:rsid w:val="00E34564"/>
    <w:rsid w:val="00E353A3"/>
    <w:rsid w:val="00E36FD5"/>
    <w:rsid w:val="00E402E2"/>
    <w:rsid w:val="00E42474"/>
    <w:rsid w:val="00E448C9"/>
    <w:rsid w:val="00E510C7"/>
    <w:rsid w:val="00E518BC"/>
    <w:rsid w:val="00E545F1"/>
    <w:rsid w:val="00E5562A"/>
    <w:rsid w:val="00E556DF"/>
    <w:rsid w:val="00E616BB"/>
    <w:rsid w:val="00E61C47"/>
    <w:rsid w:val="00E639A4"/>
    <w:rsid w:val="00E63E84"/>
    <w:rsid w:val="00E66D7B"/>
    <w:rsid w:val="00E66F01"/>
    <w:rsid w:val="00E742F2"/>
    <w:rsid w:val="00E752F0"/>
    <w:rsid w:val="00E8462D"/>
    <w:rsid w:val="00E84B74"/>
    <w:rsid w:val="00E84F0D"/>
    <w:rsid w:val="00E8599E"/>
    <w:rsid w:val="00E867B8"/>
    <w:rsid w:val="00E86BBE"/>
    <w:rsid w:val="00E86E14"/>
    <w:rsid w:val="00E87FB2"/>
    <w:rsid w:val="00E91EFD"/>
    <w:rsid w:val="00E95133"/>
    <w:rsid w:val="00E95E15"/>
    <w:rsid w:val="00E95EF5"/>
    <w:rsid w:val="00E97BB7"/>
    <w:rsid w:val="00E97EDC"/>
    <w:rsid w:val="00E97FED"/>
    <w:rsid w:val="00EA481F"/>
    <w:rsid w:val="00EA4B18"/>
    <w:rsid w:val="00EB036B"/>
    <w:rsid w:val="00EB128C"/>
    <w:rsid w:val="00EB1331"/>
    <w:rsid w:val="00EB2630"/>
    <w:rsid w:val="00EB26C4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F42"/>
    <w:rsid w:val="00F027CB"/>
    <w:rsid w:val="00F041E5"/>
    <w:rsid w:val="00F070F0"/>
    <w:rsid w:val="00F073BF"/>
    <w:rsid w:val="00F10D6B"/>
    <w:rsid w:val="00F11A45"/>
    <w:rsid w:val="00F12ECB"/>
    <w:rsid w:val="00F13E31"/>
    <w:rsid w:val="00F13F4F"/>
    <w:rsid w:val="00F145C9"/>
    <w:rsid w:val="00F158DD"/>
    <w:rsid w:val="00F20100"/>
    <w:rsid w:val="00F224AA"/>
    <w:rsid w:val="00F22BD4"/>
    <w:rsid w:val="00F24236"/>
    <w:rsid w:val="00F308AD"/>
    <w:rsid w:val="00F364B3"/>
    <w:rsid w:val="00F374E2"/>
    <w:rsid w:val="00F40BEF"/>
    <w:rsid w:val="00F41CD6"/>
    <w:rsid w:val="00F5015C"/>
    <w:rsid w:val="00F50B1B"/>
    <w:rsid w:val="00F51B74"/>
    <w:rsid w:val="00F5217D"/>
    <w:rsid w:val="00F5357A"/>
    <w:rsid w:val="00F606BC"/>
    <w:rsid w:val="00F621C1"/>
    <w:rsid w:val="00F62853"/>
    <w:rsid w:val="00F65405"/>
    <w:rsid w:val="00F72664"/>
    <w:rsid w:val="00F72CFA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C6236"/>
    <w:rsid w:val="00FD34BD"/>
    <w:rsid w:val="00FD458C"/>
    <w:rsid w:val="00FD4674"/>
    <w:rsid w:val="00FD4F7A"/>
    <w:rsid w:val="00FD7008"/>
    <w:rsid w:val="00FE0E97"/>
    <w:rsid w:val="00FE3AF6"/>
    <w:rsid w:val="00FE4EDB"/>
    <w:rsid w:val="00FE6863"/>
    <w:rsid w:val="00FE756A"/>
    <w:rsid w:val="00FE769D"/>
    <w:rsid w:val="00FE786D"/>
    <w:rsid w:val="00FF014F"/>
    <w:rsid w:val="00FF1185"/>
    <w:rsid w:val="00FF3B6C"/>
    <w:rsid w:val="00FF6F31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5E5170"/>
    <w:pPr>
      <w:ind w:left="720"/>
      <w:contextualSpacing/>
    </w:pPr>
  </w:style>
  <w:style w:type="paragraph" w:styleId="NormalnyWeb">
    <w:name w:val="Normal (Web)"/>
    <w:basedOn w:val="Normalny"/>
    <w:rsid w:val="00DE6081"/>
    <w:pPr>
      <w:spacing w:before="100" w:after="119"/>
    </w:pPr>
    <w:rPr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5FD2C-380E-4D41-895F-8584A36E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X</cp:lastModifiedBy>
  <cp:revision>4</cp:revision>
  <dcterms:created xsi:type="dcterms:W3CDTF">2015-08-06T09:43:00Z</dcterms:created>
  <dcterms:modified xsi:type="dcterms:W3CDTF">2015-08-06T09:53:00Z</dcterms:modified>
</cp:coreProperties>
</file>