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Parametry użytkowe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Prędkość dozowania: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nastawiana co 0,1 ml/h0,1 ÷ 2000 ml/h dla strzykawki 50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0,1 ÷ 1200 ml/h dla strzykawki 30 ml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0,1 ÷ 1000 ml/h dla strzykawki 20 ml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0,1 ÷ 600 ml/h dla strzykawki 10 ml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0,1 ÷ 400 ml/h dla strzykawki 5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Objętość infuzji:0,1 ÷ 1000 ml, ustawiana co 0,1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Maksymalna prędkość dozowania dawki uderzeniowej (bolus):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nastawiana co 0,1 ml/h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2000 ml/h dla strzykawki 50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1200 ml/h dla strzykawki 30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1000 ml/h dla strzykawki 20 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600 ml/h dla strzykawki 10 ml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400 ml/h dla strzykawki 5 ml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5747CB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Dawka uderzeniowa (bolus):</w:t>
      </w:r>
      <w:r w:rsidR="005747CB" w:rsidRPr="005747C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5747CB" w:rsidRPr="00FF6062">
        <w:rPr>
          <w:rFonts w:ascii="Times New Roman" w:eastAsia="Times New Roman" w:hAnsi="Times New Roman" w:cs="Times New Roman"/>
          <w:szCs w:val="24"/>
          <w:lang w:eastAsia="pl-PL"/>
        </w:rPr>
        <w:t>do objętości strzykawki, ustawiana co 0,1ml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</w:p>
    <w:p w:rsidR="008E2C85" w:rsidRPr="00FF6062" w:rsidRDefault="00FF6062" w:rsidP="008E2C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Dawka początkowa:</w:t>
      </w:r>
      <w:r w:rsidR="008E2C85" w:rsidRPr="008E2C8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E2C85" w:rsidRPr="00FF6062">
        <w:rPr>
          <w:rFonts w:ascii="Times New Roman" w:eastAsia="Times New Roman" w:hAnsi="Times New Roman" w:cs="Times New Roman"/>
          <w:szCs w:val="24"/>
          <w:lang w:eastAsia="pl-PL"/>
        </w:rPr>
        <w:t>do objętości strzykawki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Waga pacjenta: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 300 kg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Czas infuzji:</w:t>
      </w:r>
      <w:r w:rsidR="005747C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F6062">
        <w:rPr>
          <w:rFonts w:ascii="Times New Roman" w:eastAsia="Times New Roman" w:hAnsi="Times New Roman" w:cs="Times New Roman"/>
          <w:szCs w:val="24"/>
          <w:lang w:eastAsia="pl-PL"/>
        </w:rPr>
        <w:t>maks. 99 godz. 59 min. 59 sek.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Prędkość KVO: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0 ÷ 5 ml, programowana co 0,1 ml/h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Dokładność dozowania:</w:t>
      </w:r>
    </w:p>
    <w:p w:rsidR="00FF6062" w:rsidRPr="00FF6062" w:rsidRDefault="008E2C85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+/-</w:t>
      </w:r>
      <w:r w:rsidR="00FF6062"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2% (wg wymagań normy EN 60601-2-24)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Programowane ciśnienie okluzji - 9 poziomów:40 ÷ 120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kPa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co 10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kPa</w:t>
      </w:r>
      <w:proofErr w:type="spellEnd"/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Typy strzykawek:</w:t>
      </w:r>
    </w:p>
    <w:p w:rsidR="005747CB" w:rsidRPr="00FF6062" w:rsidRDefault="00FF6062" w:rsidP="005747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5, 10, 20, 30, 50/60 ml (firm wyszczególnionych w Instrukcji Użycia</w:t>
      </w:r>
      <w:r w:rsidR="005747CB" w:rsidRPr="00FF6062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Parametry techniczne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Zasilanie: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100 - 240 VAC, 50/60 Hz lub 12 - 15 VDC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 </w:t>
      </w:r>
    </w:p>
    <w:p w:rsidR="008E2C85" w:rsidRPr="00FF6062" w:rsidRDefault="00FF6062" w:rsidP="008E2C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Pobór mocy:</w:t>
      </w:r>
      <w:r w:rsidR="008E2C85" w:rsidRPr="008E2C8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E2C85" w:rsidRPr="00FF6062">
        <w:rPr>
          <w:rFonts w:ascii="Times New Roman" w:eastAsia="Times New Roman" w:hAnsi="Times New Roman" w:cs="Times New Roman"/>
          <w:szCs w:val="24"/>
          <w:lang w:eastAsia="pl-PL"/>
        </w:rPr>
        <w:t>maks. 10 VA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Akumulator wewnętrzny: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NiMh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(1300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mAh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>)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Czas pracy z akumulatora:20 h przy prędkości 5 ml/h.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8E2C85" w:rsidRPr="00FF6062" w:rsidRDefault="00FF6062" w:rsidP="008E2C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Czas ładowania akumulatora:</w:t>
      </w:r>
      <w:r w:rsidR="008E2C85" w:rsidRPr="008E2C8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E2C85" w:rsidRPr="00FF6062">
        <w:rPr>
          <w:rFonts w:ascii="Times New Roman" w:eastAsia="Times New Roman" w:hAnsi="Times New Roman" w:cs="Times New Roman"/>
          <w:szCs w:val="24"/>
          <w:lang w:eastAsia="pl-PL"/>
        </w:rPr>
        <w:t>24 h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Właściwości urządzenia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Interfejs:</w:t>
      </w:r>
      <w:r w:rsidR="005747C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RS 232 C 9600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Bd</w:t>
      </w:r>
      <w:proofErr w:type="spellEnd"/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Gniazdo alarmu zewnętrznego:24 V, 1 A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Wyświetlacz:</w:t>
      </w:r>
      <w:r w:rsidR="005747C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FF6062">
        <w:rPr>
          <w:rFonts w:ascii="Times New Roman" w:eastAsia="Times New Roman" w:hAnsi="Times New Roman" w:cs="Times New Roman"/>
          <w:szCs w:val="24"/>
          <w:lang w:eastAsia="pl-PL"/>
        </w:rPr>
        <w:t>LCD duży, czytelny, dwuwierszowy, 2 x 16 znaków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Inne możliwości: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likwidacja bolusa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okluzyjnego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(ABS)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automatyczne rozpoznawanie strzykawek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informacja o stanie naładowania    akumulatora</w:t>
      </w:r>
    </w:p>
    <w:p w:rsidR="005747CB" w:rsidRPr="00FF6062" w:rsidRDefault="00FF6062" w:rsidP="005747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biblioteka leków z możliwością modyfikacji </w:t>
      </w:r>
      <w:r w:rsidR="005747CB" w:rsidRPr="00FF6062">
        <w:rPr>
          <w:rFonts w:ascii="Times New Roman" w:eastAsia="Times New Roman" w:hAnsi="Times New Roman" w:cs="Times New Roman"/>
          <w:szCs w:val="24"/>
          <w:lang w:eastAsia="pl-PL"/>
        </w:rPr>
        <w:t>    (64 leki) 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infuzje </w:t>
      </w:r>
      <w:r w:rsidR="005747CB" w:rsidRPr="00FF6062">
        <w:rPr>
          <w:rFonts w:ascii="Times New Roman" w:eastAsia="Times New Roman" w:hAnsi="Times New Roman" w:cs="Times New Roman"/>
          <w:szCs w:val="24"/>
          <w:lang w:eastAsia="pl-PL"/>
        </w:rPr>
        <w:t>wielofazowe</w:t>
      </w: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z możliwością zapisania </w:t>
      </w:r>
      <w:r w:rsidR="005747CB" w:rsidRPr="00FF6062">
        <w:rPr>
          <w:rFonts w:ascii="Times New Roman" w:eastAsia="Times New Roman" w:hAnsi="Times New Roman" w:cs="Times New Roman"/>
          <w:szCs w:val="24"/>
          <w:lang w:eastAsia="pl-PL"/>
        </w:rPr>
        <w:t>profilu 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wskaźnik ciśnienia infuzji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programowanie nazwy oddziału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blokada zmiany parametrów hasłem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funkcja wypełniania drenu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funkcja STAND-BY (1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sek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 - 24h)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testy użytkownika i serwisowe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 xml:space="preserve"> Historia </w:t>
      </w:r>
      <w:proofErr w:type="spellStart"/>
      <w:r w:rsidRPr="00FF6062">
        <w:rPr>
          <w:rFonts w:ascii="Times New Roman" w:eastAsia="Times New Roman" w:hAnsi="Times New Roman" w:cs="Times New Roman"/>
          <w:szCs w:val="24"/>
          <w:lang w:eastAsia="pl-PL"/>
        </w:rPr>
        <w:t>infuzji:ok</w:t>
      </w:r>
      <w:proofErr w:type="spellEnd"/>
      <w:r w:rsidRPr="00FF6062">
        <w:rPr>
          <w:rFonts w:ascii="Times New Roman" w:eastAsia="Times New Roman" w:hAnsi="Times New Roman" w:cs="Times New Roman"/>
          <w:szCs w:val="24"/>
          <w:lang w:eastAsia="pl-PL"/>
        </w:rPr>
        <w:t>. 2000 zdarzeń</w:t>
      </w:r>
    </w:p>
    <w:p w:rsidR="008E2C85" w:rsidRPr="00FF6062" w:rsidRDefault="00FF6062" w:rsidP="008E2C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Czas utrzymania danych w pamięci:</w:t>
      </w:r>
      <w:r w:rsidR="008E2C85" w:rsidRPr="008E2C8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8E2C85" w:rsidRPr="00FF6062">
        <w:rPr>
          <w:rFonts w:ascii="Times New Roman" w:eastAsia="Times New Roman" w:hAnsi="Times New Roman" w:cs="Times New Roman"/>
          <w:szCs w:val="24"/>
          <w:lang w:eastAsia="pl-PL"/>
        </w:rPr>
        <w:t>10 lat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Regulacja głośności alarmu:3 poziomy głośności, ton przerywany lub ciągły</w:t>
      </w:r>
    </w:p>
    <w:p w:rsidR="00FF6062" w:rsidRPr="00FF6062" w:rsidRDefault="00FF6062" w:rsidP="00FF60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before="100" w:beforeAutospacing="1" w:afterAutospacing="1"/>
        <w:rPr>
          <w:rFonts w:ascii="Times New Roman" w:eastAsia="Times New Roman" w:hAnsi="Times New Roman" w:cs="Times New Roman"/>
          <w:szCs w:val="24"/>
          <w:lang w:eastAsia="pl-PL"/>
        </w:rPr>
      </w:pPr>
      <w:r w:rsidRPr="00FF6062">
        <w:rPr>
          <w:rFonts w:ascii="Times New Roman" w:eastAsia="Times New Roman" w:hAnsi="Times New Roman" w:cs="Times New Roman"/>
          <w:szCs w:val="24"/>
          <w:lang w:eastAsia="pl-PL"/>
        </w:rPr>
        <w:t> </w:t>
      </w:r>
    </w:p>
    <w:p w:rsidR="00FF6062" w:rsidRPr="00FF6062" w:rsidRDefault="00FF6062" w:rsidP="00FF6062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062"/>
    <w:rsid w:val="001C76BF"/>
    <w:rsid w:val="002D3531"/>
    <w:rsid w:val="005747CB"/>
    <w:rsid w:val="008E2C85"/>
    <w:rsid w:val="00AC4794"/>
    <w:rsid w:val="00C8025D"/>
    <w:rsid w:val="00FE1A6B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606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57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2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2016-11-14T11:38:00Z</dcterms:created>
  <dcterms:modified xsi:type="dcterms:W3CDTF">2016-11-14T12:04:00Z</dcterms:modified>
</cp:coreProperties>
</file>